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доходах, расходах, об имуществе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 w:val="1"/>
          <w:sz w:val="28"/>
        </w:rPr>
        <w:t xml:space="preserve">муниципальными служащими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Троицкого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период с 1 января по 31 декабря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/>
        <w:rPr>
          <w:rFonts w:ascii="Times New Roman" w:hAnsi="Times New Roman"/>
          <w:sz w:val="1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type="dxa" w:w="60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>
        <w:trPr>
          <w:trHeight w:hRule="atLeast" w:val="172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>
        <w:trPr>
          <w:trHeight w:hRule="atLeast" w:val="715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Бадаева 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507637,19</w:t>
            </w: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1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14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8328,02</w:t>
            </w: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1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A000000">
      <w:pPr>
        <w:spacing w:after="0" w:line="240" w:lineRule="auto"/>
        <w:ind w:hanging="851" w:left="851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737" w:right="73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2023-05-05T06:35:42Z</dcterms:modified>
</cp:coreProperties>
</file>