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доходах, расходах, об имуществе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 w:val="1"/>
          <w:sz w:val="28"/>
        </w:rPr>
        <w:t xml:space="preserve">муниципальными служащими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Троицкого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период с 1 января по 31 декабря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/>
        <w:rPr>
          <w:rFonts w:ascii="Times New Roman" w:hAnsi="Times New Roman"/>
          <w:sz w:val="40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type="dxa" w:w="62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>
        <w:trPr>
          <w:trHeight w:hRule="atLeast" w:val="172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Бархатова Светлана Васильевна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663337,95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51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382118,47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25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5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2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(общая долевая собственность 20/</w:t>
            </w:r>
            <w:r>
              <w:rPr>
                <w:rFonts w:ascii="Times New Roman" w:hAnsi="Times New Roman"/>
              </w:rPr>
              <w:t>833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2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</w:tbl>
    <w:p w14:paraId="39000000"/>
    <w:sectPr>
      <w:pgSz w:h="11906" w:orient="landscape" w:w="16838"/>
      <w:pgMar w:bottom="737" w:footer="709" w:gutter="0" w:header="709" w:left="737" w:right="737" w:top="73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2023-04-18T11:52:22Z</dcterms:modified>
</cp:coreProperties>
</file>