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результатах мониторинга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реализации </w:t>
      </w:r>
    </w:p>
    <w:p w14:paraId="0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прогноз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долгосрочный период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2036года</w:t>
      </w:r>
      <w:r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</w:p>
    <w:p w14:paraId="05000000">
      <w:pPr>
        <w:pStyle w:val="Style_3"/>
        <w:ind w:firstLine="709" w:left="0"/>
        <w:rPr>
          <w:rFonts w:ascii="Times New Roman" w:hAnsi="Times New Roman"/>
          <w:sz w:val="28"/>
        </w:rPr>
      </w:pPr>
    </w:p>
    <w:p w14:paraId="06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4</w:t>
      </w:r>
      <w:r>
        <w:rPr>
          <w:rFonts w:ascii="Times New Roman" w:hAnsi="Times New Roman"/>
          <w:sz w:val="28"/>
        </w:rPr>
        <w:t xml:space="preserve"> постановления Администрации Троицкого сельского поселения от 22.04.2016г. № 70 «Об утверждении Правил разработки и утверждения бюджетного прогноза Троицкого сельского поселения на долгосрочный период»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 мониторинг реализации бюджетного прогноза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на долгосрочный период (далее – Бюджетный прогноз), утвержденного </w:t>
      </w:r>
      <w:r>
        <w:rPr>
          <w:rFonts w:ascii="Times New Roman" w:hAnsi="Times New Roman"/>
          <w:sz w:val="28"/>
        </w:rPr>
        <w:t>постановлением Главы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Троицкого сельского поселения от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.09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года № 64</w:t>
      </w:r>
      <w:r>
        <w:rPr>
          <w:rFonts w:ascii="Times New Roman" w:hAnsi="Times New Roman"/>
          <w:sz w:val="28"/>
        </w:rPr>
        <w:t xml:space="preserve"> (с </w:t>
      </w:r>
      <w:r>
        <w:rPr>
          <w:rFonts w:ascii="Times New Roman" w:hAnsi="Times New Roman"/>
          <w:sz w:val="28"/>
        </w:rPr>
        <w:t>изм. от 17.02.2023г № 16, от 20.02.2024 № 20)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основе данных </w:t>
      </w:r>
      <w:r>
        <w:rPr>
          <w:rFonts w:ascii="Times New Roman" w:hAnsi="Times New Roman"/>
          <w:sz w:val="28"/>
        </w:rPr>
        <w:t>отчета об исполнении бюджета по фор</w:t>
      </w:r>
      <w:r>
        <w:rPr>
          <w:rFonts w:ascii="Times New Roman" w:hAnsi="Times New Roman"/>
          <w:sz w:val="28"/>
        </w:rPr>
        <w:t>ме 05031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(далее – отчет об исполнении бюджета)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3"/>
        <w:ind w:firstLine="709" w:left="0"/>
        <w:jc w:val="both"/>
        <w:rPr>
          <w:rFonts w:ascii="Times New Roman" w:hAnsi="Times New Roman"/>
        </w:rPr>
      </w:pPr>
    </w:p>
    <w:p w14:paraId="08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степени достижения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показателей </w:t>
      </w:r>
      <w:r>
        <w:rPr>
          <w:rFonts w:ascii="Times New Roman" w:hAnsi="Times New Roman"/>
          <w:sz w:val="28"/>
        </w:rPr>
        <w:t xml:space="preserve">Бюджетного прогноза </w:t>
      </w: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</w:t>
      </w:r>
    </w:p>
    <w:p w14:paraId="09000000">
      <w:pPr>
        <w:pStyle w:val="Style_3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(млн.</w:t>
      </w:r>
      <w:r>
        <w:rPr>
          <w:rFonts w:ascii="Times New Roman" w:hAnsi="Times New Roman"/>
          <w:sz w:val="28"/>
        </w:rPr>
        <w:t xml:space="preserve"> рублей)</w:t>
      </w:r>
    </w:p>
    <w:tbl>
      <w:tblPr>
        <w:tblStyle w:val="Style_4"/>
        <w:tblLayout w:type="fixed"/>
        <w:tblCellMar>
          <w:left w:type="dxa" w:w="28"/>
          <w:right w:type="dxa" w:w="28"/>
        </w:tblCellMar>
      </w:tblPr>
      <w:tblGrid>
        <w:gridCol w:w="786"/>
        <w:gridCol w:w="4345"/>
        <w:gridCol w:w="1560"/>
        <w:gridCol w:w="1701"/>
        <w:gridCol w:w="1301"/>
      </w:tblGrid>
      <w:tr>
        <w:trPr>
          <w:trHeight w:hRule="atLeast" w:val="654"/>
        </w:trPr>
        <w:tc>
          <w:tcPr>
            <w:tcW w:type="dxa" w:w="786"/>
            <w:tcMar>
              <w:left w:type="dxa" w:w="28"/>
              <w:right w:type="dxa" w:w="28"/>
            </w:tcMar>
            <w:vAlign w:val="center"/>
          </w:tcPr>
          <w:p w14:paraId="0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345"/>
            <w:tcMar>
              <w:left w:type="dxa" w:w="28"/>
              <w:right w:type="dxa" w:w="28"/>
            </w:tcMar>
            <w:vAlign w:val="center"/>
          </w:tcPr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прогноз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тчет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 исполнении бюджета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Отклонение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</w:tcPr>
          <w:p w14:paraId="1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</w:tcPr>
          <w:p w14:paraId="1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</w:tcPr>
          <w:p w14:paraId="1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= 4 – 3</w:t>
            </w:r>
          </w:p>
        </w:tc>
      </w:tr>
      <w:tr>
        <w:tc>
          <w:tcPr>
            <w:tcW w:type="dxa" w:w="9693"/>
            <w:gridSpan w:val="5"/>
            <w:tcMar>
              <w:left w:type="dxa" w:w="28"/>
              <w:right w:type="dxa" w:w="28"/>
            </w:tcMar>
          </w:tcPr>
          <w:p w14:paraId="1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характеристики </w:t>
            </w:r>
            <w:r>
              <w:rPr>
                <w:rFonts w:ascii="Times New Roman" w:hAnsi="Times New Roman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Троицкого сельского поселения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1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1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доходов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18,4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1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19,3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</w:tr>
      <w:tr>
        <w:tc>
          <w:tcPr>
            <w:tcW w:type="dxa" w:w="786"/>
            <w:tcBorders>
              <w:right w:sz="4" w:val="nil"/>
            </w:tcBorders>
            <w:tcMar>
              <w:left w:type="dxa" w:w="28"/>
              <w:right w:type="dxa" w:w="28"/>
            </w:tcMar>
          </w:tcPr>
          <w:p w14:paraId="1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907"/>
            <w:gridSpan w:val="4"/>
            <w:tcBorders>
              <w:left w:sz="4" w:val="nil"/>
            </w:tcBorders>
            <w:tcMar>
              <w:left w:type="dxa" w:w="28"/>
              <w:right w:type="dxa" w:w="28"/>
            </w:tcMar>
          </w:tcPr>
          <w:p w14:paraId="1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1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1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налоговые и неналоговые доходы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1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2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2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2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2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2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расходов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18,4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21,2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2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2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2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Дефицит/профицит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01"/>
            <w:tcMar>
              <w:left w:type="dxa" w:w="28"/>
              <w:right w:type="dxa" w:w="28"/>
            </w:tcMar>
            <w:vAlign w:val="center"/>
          </w:tcPr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-1,9</w:t>
            </w:r>
          </w:p>
        </w:tc>
        <w:tc>
          <w:tcPr>
            <w:tcW w:type="dxa" w:w="1301"/>
            <w:tcMar>
              <w:left w:type="dxa" w:w="28"/>
              <w:right w:type="dxa" w:w="28"/>
            </w:tcMar>
            <w:vAlign w:val="center"/>
          </w:tcPr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9693"/>
            <w:gridSpan w:val="5"/>
            <w:tcMar>
              <w:left w:type="dxa" w:w="28"/>
              <w:right w:type="dxa" w:w="28"/>
            </w:tcMar>
          </w:tcPr>
          <w:p w14:paraId="3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финансового обеспечения </w:t>
            </w:r>
            <w:r>
              <w:rPr>
                <w:rFonts w:ascii="Times New Roman" w:hAnsi="Times New Roman"/>
                <w:sz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</w:rPr>
              <w:t>Троицкого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период их действия</w:t>
            </w:r>
          </w:p>
        </w:tc>
      </w:tr>
      <w:tr>
        <w:tc>
          <w:tcPr>
            <w:tcW w:type="dxa" w:w="786"/>
            <w:tcMar>
              <w:left w:type="dxa" w:w="28"/>
              <w:right w:type="dxa" w:w="28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5"/>
            <w:tcMar>
              <w:left w:type="dxa" w:w="28"/>
              <w:right w:type="dxa" w:w="28"/>
            </w:tcMar>
          </w:tcPr>
          <w:p w14:paraId="3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в рамках </w:t>
            </w:r>
            <w:r>
              <w:rPr>
                <w:rFonts w:ascii="Times New Roman" w:hAnsi="Times New Roman"/>
                <w:sz w:val="24"/>
              </w:rPr>
              <w:t>муниципальных программ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, всего</w:t>
            </w:r>
          </w:p>
        </w:tc>
        <w:tc>
          <w:tcPr>
            <w:tcW w:type="dxa" w:w="1560"/>
            <w:tcMar>
              <w:left w:type="dxa" w:w="28"/>
              <w:right w:type="dxa" w:w="28"/>
            </w:tcMar>
            <w:vAlign w:val="center"/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  <w:tc>
          <w:tcPr>
            <w:tcW w:type="dxa" w:w="1701"/>
            <w:shd w:fill="auto" w:val="clear"/>
            <w:tcMar>
              <w:left w:type="dxa" w:w="28"/>
              <w:right w:type="dxa" w:w="28"/>
            </w:tcMar>
            <w:vAlign w:val="center"/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20,5</w:t>
            </w:r>
          </w:p>
        </w:tc>
        <w:tc>
          <w:tcPr>
            <w:tcW w:type="dxa" w:w="1301"/>
            <w:shd w:fill="auto" w:val="clear"/>
            <w:tcMar>
              <w:left w:type="dxa" w:w="28"/>
              <w:right w:type="dxa" w:w="28"/>
            </w:tcMar>
            <w:vAlign w:val="center"/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2,7</w:t>
            </w:r>
          </w:p>
        </w:tc>
      </w:tr>
    </w:tbl>
    <w:p w14:paraId="36000000">
      <w:pPr>
        <w:tabs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ходы бюджета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году </w:t>
      </w:r>
      <w:r>
        <w:rPr>
          <w:rFonts w:ascii="Times New Roman" w:hAnsi="Times New Roman"/>
          <w:sz w:val="28"/>
        </w:rPr>
        <w:t>исполнены в сумме</w:t>
      </w:r>
      <w:r>
        <w:rPr>
          <w:rFonts w:ascii="Times New Roman" w:hAnsi="Times New Roman"/>
          <w:sz w:val="28"/>
        </w:rPr>
        <w:t xml:space="preserve"> 19,3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млн.</w:t>
      </w:r>
      <w:r>
        <w:rPr>
          <w:rFonts w:ascii="Times New Roman" w:hAnsi="Times New Roman"/>
          <w:sz w:val="28"/>
        </w:rPr>
        <w:t xml:space="preserve"> рублей, </w:t>
      </w:r>
      <w:r>
        <w:rPr>
          <w:rFonts w:ascii="Times New Roman" w:hAnsi="Times New Roman"/>
          <w:sz w:val="28"/>
        </w:rPr>
        <w:t>с ростом на 0,9</w:t>
      </w:r>
      <w:r>
        <w:rPr>
          <w:rFonts w:ascii="Times New Roman" w:hAnsi="Times New Roman"/>
          <w:sz w:val="28"/>
        </w:rPr>
        <w:t xml:space="preserve"> млн.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прогноз</w:t>
      </w:r>
      <w:r>
        <w:rPr>
          <w:rFonts w:ascii="Times New Roman" w:hAnsi="Times New Roman"/>
          <w:sz w:val="28"/>
        </w:rPr>
        <w:t>у основных характеристик соответствующего бюджета (далее – прогнозные п</w:t>
      </w:r>
      <w:r>
        <w:rPr>
          <w:rFonts w:ascii="Times New Roman" w:hAnsi="Times New Roman"/>
          <w:sz w:val="28"/>
        </w:rPr>
        <w:t>оказател</w:t>
      </w:r>
      <w:r>
        <w:rPr>
          <w:rFonts w:ascii="Times New Roman" w:hAnsi="Times New Roman"/>
          <w:sz w:val="28"/>
        </w:rPr>
        <w:t>и)</w:t>
      </w:r>
      <w:r>
        <w:rPr>
          <w:rFonts w:ascii="Times New Roman" w:hAnsi="Times New Roman"/>
          <w:sz w:val="28"/>
        </w:rPr>
        <w:t>.</w:t>
      </w:r>
    </w:p>
    <w:p w14:paraId="3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доходов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сравнении с прогнозными показателями </w:t>
      </w:r>
      <w:r>
        <w:rPr>
          <w:rFonts w:ascii="Times New Roman" w:hAnsi="Times New Roman"/>
          <w:sz w:val="28"/>
        </w:rPr>
        <w:t>обусловлен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:</w:t>
      </w:r>
    </w:p>
    <w:p w14:paraId="39000000">
      <w:pPr>
        <w:pStyle w:val="Style_3"/>
        <w:ind w:firstLine="709" w:left="0"/>
        <w:jc w:val="both"/>
        <w:rPr>
          <w:rFonts w:ascii="Times New Roman" w:hAnsi="Times New Roman"/>
          <w:color w:val="FF0000"/>
          <w:spacing w:val="-4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увеличением</w:t>
      </w:r>
      <w:r>
        <w:rPr>
          <w:rFonts w:ascii="Times New Roman" w:hAnsi="Times New Roman"/>
          <w:sz w:val="28"/>
        </w:rPr>
        <w:t xml:space="preserve"> поступлений н</w:t>
      </w:r>
      <w:r>
        <w:rPr>
          <w:rFonts w:ascii="Times New Roman" w:hAnsi="Times New Roman"/>
          <w:sz w:val="28"/>
        </w:rPr>
        <w:t xml:space="preserve">алоговых и неналоговых доходов в 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1,2</w:t>
      </w:r>
      <w:r>
        <w:rPr>
          <w:rFonts w:ascii="Times New Roman" w:hAnsi="Times New Roman"/>
          <w:sz w:val="28"/>
        </w:rPr>
        <w:t> млн.</w:t>
      </w:r>
      <w:r>
        <w:rPr>
          <w:rFonts w:ascii="Times New Roman" w:hAnsi="Times New Roman"/>
          <w:sz w:val="28"/>
        </w:rPr>
        <w:t xml:space="preserve"> рублей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прогнозным</w:t>
      </w:r>
      <w:r>
        <w:rPr>
          <w:rFonts w:ascii="Times New Roman" w:hAnsi="Times New Roman"/>
          <w:sz w:val="28"/>
        </w:rPr>
        <w:t xml:space="preserve"> показателям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связи с оплатой налогоплательщиками задолженности по земельному налогу и налогу на доходы физических лиц.</w:t>
      </w:r>
    </w:p>
    <w:p w14:paraId="3A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увеличение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бъе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bookmarkStart w:id="1" w:name="_Hlk31201921"/>
      <w:bookmarkEnd w:id="1"/>
      <w:r>
        <w:rPr>
          <w:rFonts w:ascii="Times New Roman" w:hAnsi="Times New Roman"/>
          <w:sz w:val="28"/>
        </w:rPr>
        <w:t>безвозмездных поступлений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0,3</w:t>
      </w:r>
      <w:r>
        <w:rPr>
          <w:rFonts w:ascii="Times New Roman" w:hAnsi="Times New Roman"/>
          <w:sz w:val="28"/>
        </w:rPr>
        <w:t xml:space="preserve"> млн.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прогнозным</w:t>
      </w:r>
      <w:r>
        <w:rPr>
          <w:rFonts w:ascii="Times New Roman" w:hAnsi="Times New Roman"/>
          <w:sz w:val="28"/>
        </w:rPr>
        <w:t xml:space="preserve"> показателям</w:t>
      </w:r>
      <w:r>
        <w:rPr>
          <w:rFonts w:ascii="Times New Roman" w:hAnsi="Times New Roman"/>
          <w:sz w:val="28"/>
        </w:rPr>
        <w:t>, за счет увеличения субсидии на осуществление воинского учета на территории, где отсутствуют военные комиссариаты и иных межбюджетных трансфертов.</w:t>
      </w:r>
    </w:p>
    <w:p w14:paraId="3B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</w:t>
      </w:r>
      <w:r>
        <w:rPr>
          <w:rFonts w:ascii="Times New Roman" w:hAnsi="Times New Roman"/>
          <w:sz w:val="28"/>
        </w:rPr>
        <w:t>Троицкого сельского поселения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исполнены </w:t>
      </w:r>
      <w:r>
        <w:rPr>
          <w:rFonts w:ascii="Times New Roman" w:hAnsi="Times New Roman"/>
          <w:sz w:val="28"/>
        </w:rPr>
        <w:t>в сумме 21,2</w:t>
      </w:r>
      <w:r>
        <w:rPr>
          <w:rFonts w:ascii="Times New Roman" w:hAnsi="Times New Roman"/>
          <w:sz w:val="28"/>
        </w:rPr>
        <w:t xml:space="preserve"> мл</w:t>
      </w:r>
      <w:r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 рост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2,8</w:t>
      </w:r>
      <w:r>
        <w:rPr>
          <w:rFonts w:ascii="Times New Roman" w:hAnsi="Times New Roman"/>
          <w:sz w:val="28"/>
        </w:rPr>
        <w:t xml:space="preserve"> млн.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прогнозным</w:t>
      </w:r>
      <w:r>
        <w:rPr>
          <w:rFonts w:ascii="Times New Roman" w:hAnsi="Times New Roman"/>
          <w:sz w:val="28"/>
        </w:rPr>
        <w:t xml:space="preserve"> показателям</w:t>
      </w:r>
      <w:r>
        <w:rPr>
          <w:rFonts w:ascii="Times New Roman" w:hAnsi="Times New Roman"/>
          <w:sz w:val="28"/>
        </w:rPr>
        <w:t>.</w:t>
      </w:r>
    </w:p>
    <w:p w14:paraId="3C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 расходов </w:t>
      </w: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сравнении с прогнозными показателями обусловлен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направлением на расходы бюджетов остатков средств бюджета, сложившихся на счетах бюдже</w:t>
      </w:r>
      <w:r>
        <w:rPr>
          <w:rFonts w:ascii="Times New Roman" w:hAnsi="Times New Roman"/>
          <w:sz w:val="28"/>
        </w:rPr>
        <w:t>тов на начало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 года. </w:t>
      </w:r>
    </w:p>
    <w:p w14:paraId="3D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дефицит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 xml:space="preserve"> сложился в сумме 1,9</w:t>
      </w:r>
      <w:r>
        <w:rPr>
          <w:rFonts w:ascii="Times New Roman" w:hAnsi="Times New Roman"/>
          <w:sz w:val="28"/>
        </w:rPr>
        <w:t xml:space="preserve"> млн.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 обусловлено направлением на расходы бюджета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остатков средств, сложившихся на счетах бюджет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на</w:t>
      </w:r>
      <w:r>
        <w:rPr>
          <w:rFonts w:ascii="Times New Roman" w:hAnsi="Times New Roman"/>
          <w:sz w:val="28"/>
        </w:rPr>
        <w:t>чало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 года</w:t>
      </w:r>
      <w:r>
        <w:rPr>
          <w:rFonts w:ascii="Times New Roman" w:hAnsi="Times New Roman"/>
          <w:sz w:val="28"/>
        </w:rPr>
        <w:t>.</w:t>
      </w:r>
    </w:p>
    <w:p w14:paraId="3E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5"/>
      <w:pgMar w:bottom="1134" w:footer="0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5"/>
    <w:next w:val="Style_5"/>
    <w:link w:val="Style_10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0_ch" w:type="character">
    <w:name w:val="heading 3"/>
    <w:basedOn w:val="Style_5_ch"/>
    <w:link w:val="Style_10"/>
    <w:rPr>
      <w:rFonts w:asciiTheme="majorAscii" w:hAnsiTheme="majorHAnsi"/>
      <w:b w:val="1"/>
      <w:color w:themeColor="accent1" w:val="4F81BD"/>
    </w:rPr>
  </w:style>
  <w:style w:styleId="Style_11" w:type="paragraph">
    <w:name w:val="Body Text Indent 3"/>
    <w:basedOn w:val="Style_5"/>
    <w:link w:val="Style_11_ch"/>
    <w:pPr>
      <w:spacing w:after="0" w:line="240" w:lineRule="auto"/>
      <w:ind w:firstLine="567" w:left="0"/>
      <w:jc w:val="both"/>
    </w:pPr>
    <w:rPr>
      <w:rFonts w:ascii="Courier New" w:hAnsi="Courier New"/>
      <w:sz w:val="24"/>
    </w:rPr>
  </w:style>
  <w:style w:styleId="Style_11_ch" w:type="character">
    <w:name w:val="Body Text Indent 3"/>
    <w:basedOn w:val="Style_5_ch"/>
    <w:link w:val="Style_11"/>
    <w:rPr>
      <w:rFonts w:ascii="Courier New" w:hAnsi="Courier New"/>
      <w:sz w:val="24"/>
    </w:rPr>
  </w:style>
  <w:style w:styleId="Style_12" w:type="paragraph">
    <w:name w:val="ConsPlusTitlePage"/>
    <w:link w:val="Style_12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2_ch" w:type="character">
    <w:name w:val="ConsPlusTitlePage"/>
    <w:link w:val="Style_12"/>
    <w:rPr>
      <w:rFonts w:ascii="Tahoma" w:hAnsi="Tahoma"/>
      <w:sz w:val="20"/>
    </w:rPr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footer"/>
    <w:basedOn w:val="Style_5_ch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5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5_ch"/>
    <w:link w:val="Style_25"/>
    <w:rPr>
      <w:rFonts w:ascii="Tahoma" w:hAnsi="Tahoma"/>
      <w:sz w:val="16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2024-02-28T11:05:35Z</dcterms:modified>
</cp:coreProperties>
</file>