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53D" w14:textId="77777777"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EEEB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C22872" w14:textId="77777777"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14:paraId="45966F50" w14:textId="47EFCB30"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Pr="00E32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D93647">
        <w:rPr>
          <w:rFonts w:ascii="Times New Roman" w:hAnsi="Times New Roman"/>
          <w:b/>
          <w:sz w:val="28"/>
          <w:szCs w:val="28"/>
        </w:rPr>
        <w:t>20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73917FF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A5380" w14:textId="2060F155"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 w:rsidRPr="004506B7"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           </w:t>
      </w:r>
      <w:r w:rsidR="00D93647">
        <w:rPr>
          <w:rFonts w:ascii="Times New Roman" w:hAnsi="Times New Roman"/>
          <w:sz w:val="28"/>
          <w:szCs w:val="28"/>
        </w:rPr>
        <w:t>2</w:t>
      </w:r>
      <w:r w:rsidR="00F91235">
        <w:rPr>
          <w:rFonts w:ascii="Times New Roman" w:hAnsi="Times New Roman"/>
          <w:sz w:val="28"/>
          <w:szCs w:val="28"/>
        </w:rPr>
        <w:t xml:space="preserve"> июля 20</w:t>
      </w:r>
      <w:r w:rsidR="00D93647">
        <w:rPr>
          <w:rFonts w:ascii="Times New Roman" w:hAnsi="Times New Roman"/>
          <w:sz w:val="28"/>
          <w:szCs w:val="28"/>
        </w:rPr>
        <w:t>20</w:t>
      </w:r>
      <w:r w:rsidRPr="004506B7">
        <w:rPr>
          <w:rFonts w:ascii="Times New Roman" w:hAnsi="Times New Roman"/>
          <w:sz w:val="28"/>
          <w:szCs w:val="28"/>
        </w:rPr>
        <w:t>года</w:t>
      </w:r>
    </w:p>
    <w:p w14:paraId="3842226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5C2DA4A6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E126419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14:paraId="0296ED3A" w14:textId="6C38F3E3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20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D93647">
        <w:rPr>
          <w:rFonts w:ascii="Times New Roman" w:hAnsi="Times New Roman"/>
          <w:sz w:val="28"/>
          <w:szCs w:val="28"/>
        </w:rPr>
        <w:t>4566,6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14:paraId="73176AE3" w14:textId="17BE8538"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91235">
        <w:rPr>
          <w:rFonts w:ascii="Times New Roman" w:hAnsi="Times New Roman"/>
          <w:sz w:val="28"/>
          <w:szCs w:val="28"/>
        </w:rPr>
        <w:t xml:space="preserve"> полугодия 20</w:t>
      </w:r>
      <w:r w:rsidR="00D936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D93647">
        <w:rPr>
          <w:rFonts w:ascii="Times New Roman" w:hAnsi="Times New Roman"/>
          <w:sz w:val="28"/>
          <w:szCs w:val="28"/>
        </w:rPr>
        <w:t>1847,0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тыс.рублей или </w:t>
      </w:r>
      <w:r w:rsidR="0019065E" w:rsidRPr="0019065E">
        <w:rPr>
          <w:rFonts w:ascii="Times New Roman" w:hAnsi="Times New Roman"/>
          <w:sz w:val="28"/>
          <w:szCs w:val="28"/>
        </w:rPr>
        <w:t>4</w:t>
      </w:r>
      <w:r w:rsidR="00D93647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14:paraId="646C75BC" w14:textId="5C712F1D" w:rsidR="00EB35F0" w:rsidRPr="00AB311E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 w:rsidRPr="00AB311E">
        <w:rPr>
          <w:rFonts w:ascii="Times New Roman" w:hAnsi="Times New Roman"/>
          <w:sz w:val="28"/>
          <w:szCs w:val="28"/>
        </w:rPr>
        <w:t xml:space="preserve">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F91235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D93647" w:rsidRPr="00AB311E">
        <w:rPr>
          <w:rFonts w:ascii="Times New Roman" w:hAnsi="Times New Roman"/>
          <w:sz w:val="28"/>
          <w:szCs w:val="28"/>
        </w:rPr>
        <w:t>20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</w:t>
      </w:r>
      <w:r w:rsidR="004155A9" w:rsidRPr="00AB311E">
        <w:rPr>
          <w:rFonts w:ascii="Times New Roman" w:hAnsi="Times New Roman"/>
          <w:sz w:val="28"/>
          <w:szCs w:val="28"/>
        </w:rPr>
        <w:t xml:space="preserve"> в бюджет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4155A9" w:rsidRPr="00AB31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 w:rsidRPr="00AB311E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 w:rsidRPr="00AB311E">
        <w:rPr>
          <w:rFonts w:ascii="Times New Roman" w:hAnsi="Times New Roman"/>
          <w:sz w:val="28"/>
          <w:szCs w:val="28"/>
        </w:rPr>
        <w:t xml:space="preserve"> поступило </w:t>
      </w:r>
      <w:r w:rsidR="00AB311E" w:rsidRPr="00AB311E">
        <w:rPr>
          <w:rFonts w:ascii="Times New Roman" w:hAnsi="Times New Roman"/>
          <w:sz w:val="28"/>
          <w:szCs w:val="28"/>
        </w:rPr>
        <w:t>7275,4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из них собственных д</w:t>
      </w:r>
      <w:r w:rsidR="004C106F" w:rsidRPr="00AB311E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1758,6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</w:t>
      </w:r>
      <w:r w:rsidR="004C106F" w:rsidRPr="00AB311E">
        <w:rPr>
          <w:rFonts w:ascii="Times New Roman" w:hAnsi="Times New Roman"/>
          <w:sz w:val="28"/>
          <w:szCs w:val="28"/>
        </w:rPr>
        <w:t>,</w:t>
      </w:r>
      <w:r w:rsidR="004155A9" w:rsidRPr="00AB311E">
        <w:rPr>
          <w:rFonts w:ascii="Times New Roman" w:hAnsi="Times New Roman"/>
          <w:sz w:val="28"/>
          <w:szCs w:val="28"/>
        </w:rPr>
        <w:t xml:space="preserve"> при плане </w:t>
      </w:r>
      <w:r w:rsidR="00AB311E" w:rsidRPr="00AB311E">
        <w:rPr>
          <w:rFonts w:ascii="Times New Roman" w:hAnsi="Times New Roman"/>
          <w:sz w:val="28"/>
          <w:szCs w:val="28"/>
        </w:rPr>
        <w:t>4152,3</w:t>
      </w:r>
      <w:r w:rsidR="004155A9" w:rsidRPr="00AB311E">
        <w:rPr>
          <w:rFonts w:ascii="Times New Roman" w:hAnsi="Times New Roman"/>
          <w:sz w:val="28"/>
          <w:szCs w:val="28"/>
        </w:rPr>
        <w:t xml:space="preserve"> тыс.рублей, что составляет </w:t>
      </w:r>
      <w:r w:rsidR="00AB311E" w:rsidRPr="00AB311E">
        <w:rPr>
          <w:rFonts w:ascii="Times New Roman" w:hAnsi="Times New Roman"/>
          <w:sz w:val="28"/>
          <w:szCs w:val="28"/>
        </w:rPr>
        <w:t>42,3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4155A9" w:rsidRPr="00AB311E">
        <w:rPr>
          <w:rFonts w:ascii="Times New Roman" w:hAnsi="Times New Roman"/>
          <w:sz w:val="28"/>
          <w:szCs w:val="28"/>
        </w:rPr>
        <w:t xml:space="preserve"> к плану.</w:t>
      </w:r>
      <w:r w:rsidR="004C106F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>Расходная</w:t>
      </w:r>
      <w:r w:rsidR="00EB35F0" w:rsidRPr="00AB311E">
        <w:rPr>
          <w:rFonts w:ascii="Times New Roman" w:hAnsi="Times New Roman"/>
          <w:sz w:val="28"/>
          <w:szCs w:val="28"/>
        </w:rPr>
        <w:t xml:space="preserve"> </w:t>
      </w:r>
      <w:r w:rsidR="00B54891" w:rsidRPr="00AB311E">
        <w:rPr>
          <w:rFonts w:ascii="Times New Roman" w:hAnsi="Times New Roman"/>
          <w:sz w:val="28"/>
          <w:szCs w:val="28"/>
        </w:rPr>
        <w:t xml:space="preserve">часть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54891" w:rsidRPr="00AB311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BD3560" w:rsidRPr="00AB311E">
        <w:rPr>
          <w:rFonts w:ascii="Times New Roman" w:hAnsi="Times New Roman"/>
          <w:sz w:val="28"/>
          <w:szCs w:val="28"/>
          <w:lang w:val="en-US"/>
        </w:rPr>
        <w:t>I</w:t>
      </w:r>
      <w:r w:rsidR="00BD3560" w:rsidRPr="00AB311E">
        <w:rPr>
          <w:rFonts w:ascii="Times New Roman" w:hAnsi="Times New Roman"/>
          <w:sz w:val="28"/>
          <w:szCs w:val="28"/>
        </w:rPr>
        <w:t xml:space="preserve"> полугодие 20</w:t>
      </w:r>
      <w:r w:rsidR="00AB311E" w:rsidRPr="00AB311E">
        <w:rPr>
          <w:rFonts w:ascii="Times New Roman" w:hAnsi="Times New Roman"/>
          <w:sz w:val="28"/>
          <w:szCs w:val="28"/>
        </w:rPr>
        <w:t>20</w:t>
      </w:r>
      <w:r w:rsidR="00BD3560" w:rsidRPr="00AB311E">
        <w:rPr>
          <w:rFonts w:ascii="Times New Roman" w:hAnsi="Times New Roman"/>
          <w:sz w:val="28"/>
          <w:szCs w:val="28"/>
        </w:rPr>
        <w:t xml:space="preserve"> года </w:t>
      </w:r>
      <w:r w:rsidR="00B54891" w:rsidRPr="00AB311E">
        <w:rPr>
          <w:rFonts w:ascii="Times New Roman" w:hAnsi="Times New Roman"/>
          <w:sz w:val="28"/>
          <w:szCs w:val="28"/>
        </w:rPr>
        <w:t xml:space="preserve">исполнена на </w:t>
      </w:r>
      <w:r w:rsidR="00AB311E" w:rsidRPr="00AB311E">
        <w:rPr>
          <w:rFonts w:ascii="Times New Roman" w:hAnsi="Times New Roman"/>
          <w:sz w:val="28"/>
          <w:szCs w:val="28"/>
        </w:rPr>
        <w:t>22,6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B54891" w:rsidRPr="00AB311E">
        <w:rPr>
          <w:rFonts w:ascii="Times New Roman" w:hAnsi="Times New Roman"/>
          <w:sz w:val="28"/>
          <w:szCs w:val="28"/>
        </w:rPr>
        <w:t xml:space="preserve"> в сумме </w:t>
      </w:r>
      <w:r w:rsidR="00AB311E" w:rsidRPr="00AB311E">
        <w:rPr>
          <w:rFonts w:ascii="Times New Roman" w:hAnsi="Times New Roman"/>
          <w:sz w:val="28"/>
          <w:szCs w:val="28"/>
        </w:rPr>
        <w:t>5839,0</w:t>
      </w:r>
      <w:r w:rsidR="00B54891" w:rsidRPr="00AB311E">
        <w:rPr>
          <w:rFonts w:ascii="Times New Roman" w:hAnsi="Times New Roman"/>
          <w:sz w:val="28"/>
          <w:szCs w:val="28"/>
        </w:rPr>
        <w:t xml:space="preserve"> тыс.рублей.</w:t>
      </w:r>
      <w:r w:rsidR="00903F18" w:rsidRPr="00AB311E">
        <w:rPr>
          <w:rFonts w:ascii="Times New Roman" w:hAnsi="Times New Roman"/>
          <w:sz w:val="28"/>
          <w:szCs w:val="28"/>
        </w:rPr>
        <w:t xml:space="preserve"> </w:t>
      </w:r>
      <w:r w:rsidR="00AB311E" w:rsidRPr="00AB311E">
        <w:rPr>
          <w:rFonts w:ascii="Times New Roman" w:hAnsi="Times New Roman"/>
          <w:sz w:val="28"/>
          <w:szCs w:val="28"/>
        </w:rPr>
        <w:t>Профицит</w:t>
      </w:r>
      <w:r w:rsidR="00B84A0F" w:rsidRPr="00AB311E">
        <w:rPr>
          <w:rFonts w:ascii="Times New Roman" w:hAnsi="Times New Roman"/>
          <w:sz w:val="28"/>
          <w:szCs w:val="28"/>
        </w:rPr>
        <w:t xml:space="preserve">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="00B84A0F" w:rsidRPr="00AB311E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AB311E" w:rsidRPr="00AB311E">
        <w:rPr>
          <w:rFonts w:ascii="Times New Roman" w:hAnsi="Times New Roman"/>
          <w:sz w:val="28"/>
          <w:szCs w:val="28"/>
        </w:rPr>
        <w:t>1436,4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 Среднедушевой бюджетный доход на одно</w:t>
      </w:r>
      <w:r w:rsidR="00DA68E9" w:rsidRPr="00AB311E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29472B" w:rsidRPr="00AB311E">
        <w:rPr>
          <w:rFonts w:ascii="Times New Roman" w:hAnsi="Times New Roman"/>
          <w:sz w:val="28"/>
          <w:szCs w:val="28"/>
        </w:rPr>
        <w:t>1,</w:t>
      </w:r>
      <w:r w:rsidR="00AB311E" w:rsidRPr="00AB311E">
        <w:rPr>
          <w:rFonts w:ascii="Times New Roman" w:hAnsi="Times New Roman"/>
          <w:sz w:val="28"/>
          <w:szCs w:val="28"/>
        </w:rPr>
        <w:t>9</w:t>
      </w:r>
      <w:r w:rsidR="00B84A0F" w:rsidRPr="00AB311E">
        <w:rPr>
          <w:rFonts w:ascii="Times New Roman" w:hAnsi="Times New Roman"/>
          <w:sz w:val="28"/>
          <w:szCs w:val="28"/>
        </w:rPr>
        <w:t xml:space="preserve"> тыс.рублей.</w:t>
      </w:r>
    </w:p>
    <w:p w14:paraId="2FED9406" w14:textId="27F183BB" w:rsidR="00B84A0F" w:rsidRPr="00AB311E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11E"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 w:rsidRPr="00AB311E">
        <w:rPr>
          <w:rFonts w:ascii="Times New Roman" w:hAnsi="Times New Roman"/>
          <w:sz w:val="28"/>
          <w:szCs w:val="28"/>
        </w:rPr>
        <w:t>Троицкого</w:t>
      </w:r>
      <w:r w:rsidRPr="00AB311E"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 w:rsidRPr="00AB311E">
        <w:rPr>
          <w:rFonts w:ascii="Times New Roman" w:hAnsi="Times New Roman"/>
          <w:sz w:val="28"/>
          <w:szCs w:val="28"/>
        </w:rPr>
        <w:t>ри</w:t>
      </w:r>
      <w:r w:rsidR="005F5E57" w:rsidRPr="00AB311E">
        <w:rPr>
          <w:rFonts w:ascii="Times New Roman" w:hAnsi="Times New Roman"/>
          <w:sz w:val="28"/>
          <w:szCs w:val="28"/>
        </w:rPr>
        <w:t>и поселения,</w:t>
      </w:r>
      <w:r w:rsidR="00AB311E" w:rsidRPr="00AB311E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</w:t>
      </w:r>
      <w:r w:rsidR="005F5E57" w:rsidRPr="00AB311E">
        <w:rPr>
          <w:rFonts w:ascii="Times New Roman" w:hAnsi="Times New Roman"/>
          <w:sz w:val="28"/>
          <w:szCs w:val="28"/>
        </w:rPr>
        <w:t xml:space="preserve"> что составляет </w:t>
      </w:r>
      <w:r w:rsidR="00AB311E" w:rsidRPr="00AB311E">
        <w:rPr>
          <w:rFonts w:ascii="Times New Roman" w:hAnsi="Times New Roman"/>
          <w:sz w:val="28"/>
          <w:szCs w:val="28"/>
        </w:rPr>
        <w:t>62,8</w:t>
      </w:r>
      <w:r w:rsidR="0029472B" w:rsidRPr="00AB311E">
        <w:rPr>
          <w:rFonts w:ascii="Times New Roman" w:hAnsi="Times New Roman"/>
          <w:sz w:val="28"/>
          <w:szCs w:val="28"/>
        </w:rPr>
        <w:t>%</w:t>
      </w:r>
      <w:r w:rsidR="00F8174E" w:rsidRPr="00AB311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 w:rsidRPr="00AB311E">
        <w:rPr>
          <w:rFonts w:ascii="Times New Roman" w:hAnsi="Times New Roman"/>
          <w:sz w:val="28"/>
          <w:szCs w:val="28"/>
        </w:rPr>
        <w:t>.</w:t>
      </w:r>
    </w:p>
    <w:p w14:paraId="48548524" w14:textId="514F80B4"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>
        <w:rPr>
          <w:rFonts w:ascii="Times New Roman" w:hAnsi="Times New Roman"/>
          <w:sz w:val="28"/>
          <w:szCs w:val="28"/>
        </w:rPr>
        <w:t xml:space="preserve"> полугодия</w:t>
      </w:r>
      <w:r w:rsidR="00E3627B" w:rsidRPr="00BD3560">
        <w:rPr>
          <w:rFonts w:ascii="Times New Roman" w:hAnsi="Times New Roman"/>
          <w:sz w:val="28"/>
          <w:szCs w:val="28"/>
        </w:rPr>
        <w:t xml:space="preserve"> 20</w:t>
      </w:r>
      <w:r w:rsidR="00D93647">
        <w:rPr>
          <w:rFonts w:ascii="Times New Roman" w:hAnsi="Times New Roman"/>
          <w:sz w:val="28"/>
          <w:szCs w:val="28"/>
        </w:rPr>
        <w:t>20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0130" w:rsidRPr="00AB311E">
        <w:rPr>
          <w:rFonts w:ascii="Times New Roman" w:hAnsi="Times New Roman"/>
          <w:sz w:val="28"/>
          <w:szCs w:val="28"/>
        </w:rPr>
        <w:t>9</w:t>
      </w:r>
      <w:r w:rsidR="00AB311E" w:rsidRPr="00AB311E">
        <w:rPr>
          <w:rFonts w:ascii="Times New Roman" w:hAnsi="Times New Roman"/>
          <w:sz w:val="28"/>
          <w:szCs w:val="28"/>
        </w:rPr>
        <w:t>6,5</w:t>
      </w:r>
      <w:r w:rsidR="0029472B">
        <w:rPr>
          <w:rFonts w:ascii="Times New Roman" w:hAnsi="Times New Roman"/>
          <w:sz w:val="28"/>
          <w:szCs w:val="28"/>
        </w:rPr>
        <w:t xml:space="preserve"> процента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14:paraId="6D84A38C" w14:textId="77777777"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14:paraId="14831A2A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048F6ABE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14:paraId="0CFEB851" w14:textId="77777777"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14:paraId="22F1C53B" w14:textId="77777777"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30283F0D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307AEAA" w14:textId="77777777"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28C47A8A" w14:textId="0933866B"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E3627B">
        <w:rPr>
          <w:rFonts w:ascii="Times New Roman" w:hAnsi="Times New Roman"/>
          <w:sz w:val="28"/>
          <w:szCs w:val="28"/>
          <w:lang w:val="en-US"/>
        </w:rPr>
        <w:t>I</w:t>
      </w:r>
      <w:r w:rsidR="00E3627B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BD687D">
        <w:rPr>
          <w:rFonts w:ascii="Times New Roman" w:hAnsi="Times New Roman"/>
          <w:sz w:val="28"/>
          <w:szCs w:val="28"/>
        </w:rPr>
        <w:t>20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BD687D">
        <w:rPr>
          <w:rFonts w:ascii="Times New Roman" w:hAnsi="Times New Roman"/>
          <w:sz w:val="28"/>
          <w:szCs w:val="28"/>
        </w:rPr>
        <w:t>6</w:t>
      </w:r>
      <w:r w:rsidR="006F4E28">
        <w:rPr>
          <w:rFonts w:ascii="Times New Roman" w:hAnsi="Times New Roman"/>
          <w:sz w:val="28"/>
          <w:szCs w:val="28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>
        <w:rPr>
          <w:rFonts w:ascii="Times New Roman" w:hAnsi="Times New Roman"/>
          <w:sz w:val="28"/>
          <w:szCs w:val="28"/>
        </w:rPr>
        <w:t xml:space="preserve"> (2</w:t>
      </w:r>
      <w:r w:rsidR="00BD687D">
        <w:rPr>
          <w:rFonts w:ascii="Times New Roman" w:hAnsi="Times New Roman"/>
          <w:sz w:val="28"/>
          <w:szCs w:val="28"/>
        </w:rPr>
        <w:t>1</w:t>
      </w:r>
      <w:r w:rsidR="000F5B1C">
        <w:rPr>
          <w:rFonts w:ascii="Times New Roman" w:hAnsi="Times New Roman"/>
          <w:sz w:val="28"/>
          <w:szCs w:val="28"/>
        </w:rPr>
        <w:t xml:space="preserve"> чел.) погашено</w:t>
      </w:r>
      <w:r w:rsidR="00927528">
        <w:rPr>
          <w:rFonts w:ascii="Times New Roman" w:hAnsi="Times New Roman"/>
          <w:sz w:val="28"/>
          <w:szCs w:val="28"/>
        </w:rPr>
        <w:t xml:space="preserve"> </w:t>
      </w:r>
      <w:r w:rsidR="000F4DAA">
        <w:rPr>
          <w:rFonts w:ascii="Times New Roman" w:hAnsi="Times New Roman"/>
          <w:sz w:val="28"/>
          <w:szCs w:val="28"/>
        </w:rPr>
        <w:t>22,0</w:t>
      </w:r>
      <w:r w:rsidR="00F8174E">
        <w:rPr>
          <w:rFonts w:ascii="Times New Roman" w:hAnsi="Times New Roman"/>
          <w:sz w:val="28"/>
          <w:szCs w:val="28"/>
        </w:rPr>
        <w:t xml:space="preserve"> тыс.рублей недоимки по налоговым платежам.</w:t>
      </w:r>
    </w:p>
    <w:p w14:paraId="149DBE40" w14:textId="77777777"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14:paraId="029866FC" w14:textId="78510CC3"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0F4DAA">
        <w:rPr>
          <w:rFonts w:ascii="Times New Roman" w:hAnsi="Times New Roman"/>
          <w:sz w:val="28"/>
          <w:szCs w:val="28"/>
        </w:rPr>
        <w:t>0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0F4DAA">
        <w:rPr>
          <w:rFonts w:ascii="Times New Roman" w:hAnsi="Times New Roman"/>
          <w:sz w:val="28"/>
          <w:szCs w:val="28"/>
        </w:rPr>
        <w:t>96,5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14:paraId="2BB37AD5" w14:textId="5BAC2A19"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>
        <w:rPr>
          <w:rFonts w:ascii="Times New Roman" w:hAnsi="Times New Roman"/>
          <w:sz w:val="28"/>
          <w:szCs w:val="28"/>
        </w:rPr>
        <w:t xml:space="preserve"> полугодия</w:t>
      </w:r>
      <w:r w:rsidR="006E4927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20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14:paraId="1F7C1A72" w14:textId="6096A94D"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</w:t>
      </w:r>
      <w:r w:rsidR="000F4DAA">
        <w:rPr>
          <w:rFonts w:ascii="Times New Roman" w:hAnsi="Times New Roman"/>
          <w:sz w:val="28"/>
          <w:szCs w:val="28"/>
        </w:rPr>
        <w:t>13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 xml:space="preserve">г № </w:t>
      </w:r>
      <w:r w:rsidR="000F4DAA">
        <w:rPr>
          <w:rFonts w:ascii="Times New Roman" w:hAnsi="Times New Roman"/>
          <w:sz w:val="28"/>
          <w:szCs w:val="28"/>
        </w:rPr>
        <w:t>22</w:t>
      </w:r>
      <w:r w:rsidRPr="00E23493">
        <w:rPr>
          <w:rFonts w:ascii="Times New Roman" w:hAnsi="Times New Roman"/>
          <w:sz w:val="28"/>
          <w:szCs w:val="28"/>
        </w:rPr>
        <w:t xml:space="preserve"> «Об утверждении бюджетного прогноза на долгосрочный период 20</w:t>
      </w:r>
      <w:r w:rsidR="000F4DAA">
        <w:rPr>
          <w:rFonts w:ascii="Times New Roman" w:hAnsi="Times New Roman"/>
          <w:sz w:val="28"/>
          <w:szCs w:val="28"/>
        </w:rPr>
        <w:t>20</w:t>
      </w:r>
      <w:r w:rsidRPr="00E23493">
        <w:rPr>
          <w:rFonts w:ascii="Times New Roman" w:hAnsi="Times New Roman"/>
          <w:sz w:val="28"/>
          <w:szCs w:val="28"/>
        </w:rPr>
        <w:t>-20</w:t>
      </w:r>
      <w:r w:rsidR="000F4DAA">
        <w:rPr>
          <w:rFonts w:ascii="Times New Roman" w:hAnsi="Times New Roman"/>
          <w:sz w:val="28"/>
          <w:szCs w:val="28"/>
        </w:rPr>
        <w:t>30</w:t>
      </w:r>
      <w:r w:rsidRPr="00E23493">
        <w:rPr>
          <w:rFonts w:ascii="Times New Roman" w:hAnsi="Times New Roman"/>
          <w:sz w:val="28"/>
          <w:szCs w:val="28"/>
        </w:rPr>
        <w:t xml:space="preserve"> годов.»</w:t>
      </w:r>
    </w:p>
    <w:p w14:paraId="770F4274" w14:textId="77777777"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14:paraId="1F756171" w14:textId="77777777"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27E4EB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14:paraId="16860668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B08126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14:paraId="44575F94" w14:textId="77777777"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66FA8342" w14:textId="1E8FF7F1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</w:t>
      </w:r>
      <w:r w:rsidR="000F4DAA">
        <w:rPr>
          <w:rFonts w:ascii="Times New Roman" w:hAnsi="Times New Roman"/>
          <w:sz w:val="28"/>
          <w:szCs w:val="28"/>
        </w:rPr>
        <w:t>20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A847B9">
        <w:rPr>
          <w:rFonts w:ascii="Times New Roman" w:hAnsi="Times New Roman"/>
          <w:sz w:val="28"/>
          <w:szCs w:val="28"/>
        </w:rPr>
        <w:t>100</w:t>
      </w:r>
      <w:r w:rsidR="00473964">
        <w:rPr>
          <w:rFonts w:ascii="Times New Roman" w:hAnsi="Times New Roman"/>
          <w:sz w:val="28"/>
          <w:szCs w:val="28"/>
        </w:rPr>
        <w:t>,0</w:t>
      </w:r>
      <w:r w:rsidR="005F7AFF">
        <w:rPr>
          <w:rFonts w:ascii="Times New Roman" w:hAnsi="Times New Roman"/>
          <w:sz w:val="28"/>
          <w:szCs w:val="28"/>
        </w:rPr>
        <w:t xml:space="preserve"> тыс.рублей</w:t>
      </w:r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14:paraId="338A7AA8" w14:textId="45FA6A83"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>
        <w:rPr>
          <w:rFonts w:ascii="Times New Roman" w:hAnsi="Times New Roman"/>
          <w:sz w:val="28"/>
          <w:szCs w:val="28"/>
        </w:rPr>
        <w:t xml:space="preserve"> полугодия</w:t>
      </w:r>
      <w:r w:rsidR="00320C76"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20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20C76">
        <w:rPr>
          <w:rFonts w:ascii="Times New Roman" w:hAnsi="Times New Roman"/>
          <w:sz w:val="28"/>
          <w:szCs w:val="28"/>
          <w:lang w:val="en-US"/>
        </w:rPr>
        <w:t>I</w:t>
      </w:r>
      <w:r w:rsidR="00320C76" w:rsidRPr="00BD3560">
        <w:rPr>
          <w:rFonts w:ascii="Times New Roman" w:hAnsi="Times New Roman"/>
          <w:sz w:val="28"/>
          <w:szCs w:val="28"/>
        </w:rPr>
        <w:t xml:space="preserve"> полугодие 20</w:t>
      </w:r>
      <w:r w:rsidR="000F4DAA">
        <w:rPr>
          <w:rFonts w:ascii="Times New Roman" w:hAnsi="Times New Roman"/>
          <w:sz w:val="28"/>
          <w:szCs w:val="28"/>
        </w:rPr>
        <w:t>20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израсходованы средства в сумме </w:t>
      </w:r>
      <w:r w:rsidR="000F4DAA">
        <w:rPr>
          <w:rFonts w:ascii="Times New Roman" w:hAnsi="Times New Roman"/>
          <w:color w:val="000000"/>
          <w:sz w:val="28"/>
          <w:szCs w:val="28"/>
        </w:rPr>
        <w:t>1998,9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тыс.рублей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62904649" w14:textId="1823C717"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</w:t>
      </w:r>
      <w:r w:rsidR="000F4DAA">
        <w:rPr>
          <w:rFonts w:ascii="Times New Roman" w:hAnsi="Times New Roman"/>
          <w:sz w:val="28"/>
          <w:szCs w:val="28"/>
        </w:rPr>
        <w:t>1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0F4D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0F4DAA">
        <w:rPr>
          <w:rFonts w:ascii="Times New Roman" w:hAnsi="Times New Roman"/>
          <w:sz w:val="28"/>
          <w:szCs w:val="28"/>
        </w:rPr>
        <w:t>3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14:paraId="53E554C1" w14:textId="77777777"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14:paraId="1FF16215" w14:textId="7777777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0A4C7DAC" w14:textId="0207CD47"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37DF23F" w14:textId="44C74C96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полугодия</w:t>
      </w:r>
      <w:r w:rsidRPr="00BD3560">
        <w:rPr>
          <w:rFonts w:ascii="Times New Roman" w:hAnsi="Times New Roman"/>
          <w:sz w:val="28"/>
          <w:szCs w:val="28"/>
        </w:rPr>
        <w:t xml:space="preserve"> 20</w:t>
      </w:r>
      <w:r w:rsidR="000F4DAA">
        <w:rPr>
          <w:rFonts w:ascii="Times New Roman" w:hAnsi="Times New Roman"/>
          <w:sz w:val="28"/>
          <w:szCs w:val="28"/>
        </w:rPr>
        <w:t xml:space="preserve">20 </w:t>
      </w:r>
      <w:r w:rsidRPr="00BD356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14:paraId="01C32EA9" w14:textId="77777777"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14:paraId="37E1BFB8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4C3C5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025749D1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69B783F5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4E2E3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14:paraId="124FC727" w14:textId="77777777"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14:paraId="1997EE79" w14:textId="4F62EEF9"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</w:t>
      </w:r>
      <w:r w:rsidR="00973CDA">
        <w:rPr>
          <w:rFonts w:ascii="Times New Roman" w:hAnsi="Times New Roman"/>
          <w:sz w:val="28"/>
          <w:szCs w:val="28"/>
        </w:rPr>
        <w:t>20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</w:t>
      </w:r>
      <w:r w:rsidR="00973C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73CDA">
        <w:rPr>
          <w:rFonts w:ascii="Times New Roman" w:hAnsi="Times New Roman"/>
          <w:sz w:val="28"/>
          <w:szCs w:val="28"/>
        </w:rPr>
        <w:t>446,7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74A4607C" w14:textId="0AAB3777"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течении 20</w:t>
      </w:r>
      <w:r w:rsidR="00973CD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14:paraId="61166EA7" w14:textId="77777777"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14:paraId="349FF561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95559D" w14:textId="77777777"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025DE6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D90FC0" w14:textId="77777777"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14:paraId="523E38BA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Троицкого сельского поселения:                          Е.Б.Холодняк</w:t>
      </w:r>
    </w:p>
    <w:p w14:paraId="38131AB4" w14:textId="77777777"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FF42AC8" w14:textId="77777777"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1A07C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036F162E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7B2979C" w14:textId="10519C79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Pr="00BB1C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1235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 w:rsidR="00D93647">
        <w:rPr>
          <w:rFonts w:ascii="Times New Roman" w:hAnsi="Times New Roman" w:cs="Times New Roman"/>
          <w:sz w:val="28"/>
          <w:szCs w:val="28"/>
        </w:rPr>
        <w:t>20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6F1EA6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020073CD" w14:textId="77777777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C47C" w14:textId="77777777"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E6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14:paraId="6F7E37E5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6AA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F5F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14:paraId="021C04C2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F30AA" w14:textId="77777777" w:rsidR="008F3034" w:rsidRPr="00BB1C1D" w:rsidRDefault="008F3034" w:rsidP="006F27BA">
            <w:pPr>
              <w:pStyle w:val="ConsPlusCell"/>
              <w:ind w:left="-74" w:right="-75"/>
              <w:jc w:val="center"/>
            </w:pPr>
            <w:r w:rsidRPr="00BB1C1D">
              <w:t>Факти-ческая дата начала</w:t>
            </w:r>
            <w:r w:rsidRPr="00BB1C1D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AA75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E01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40A9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Объемы неосвоенных средств и причины их неосвоения</w:t>
            </w:r>
          </w:p>
          <w:p w14:paraId="6E385421" w14:textId="77777777" w:rsidR="008F3034" w:rsidRPr="00BB1C1D" w:rsidRDefault="00C16535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14:paraId="7542C33D" w14:textId="77777777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29D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226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F81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E72" w14:textId="77777777"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213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C89E" w14:textId="77777777"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6A9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14:paraId="64EC3340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0A1" w14:textId="77777777"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0D48" w14:textId="77777777"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7978" w14:textId="77777777" w:rsidR="008F3034" w:rsidRPr="00BB1C1D" w:rsidRDefault="008F3034" w:rsidP="006F27BA">
            <w:pPr>
              <w:pStyle w:val="ConsPlusCell"/>
            </w:pPr>
          </w:p>
        </w:tc>
      </w:tr>
    </w:tbl>
    <w:p w14:paraId="1D48E26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22BBAD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14:paraId="1F6B9BA3" w14:textId="77777777" w:rsidTr="008F3034">
        <w:trPr>
          <w:tblHeader/>
          <w:tblCellSpacing w:w="5" w:type="nil"/>
        </w:trPr>
        <w:tc>
          <w:tcPr>
            <w:tcW w:w="568" w:type="dxa"/>
          </w:tcPr>
          <w:p w14:paraId="1F86940C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14:paraId="08EA4CA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14:paraId="1F8C6B2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14:paraId="68F79CFE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14:paraId="7E4EB6B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14:paraId="2CC40FF4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14:paraId="78A4C127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14:paraId="6392FA3D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14:paraId="1896E6C8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14:paraId="70203A5B" w14:textId="77777777"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14:paraId="5B425578" w14:textId="77777777" w:rsidTr="008F3034">
        <w:trPr>
          <w:trHeight w:val="202"/>
          <w:tblCellSpacing w:w="5" w:type="nil"/>
        </w:trPr>
        <w:tc>
          <w:tcPr>
            <w:tcW w:w="568" w:type="dxa"/>
          </w:tcPr>
          <w:p w14:paraId="7E3E895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026BEB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14:paraId="29706274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14:paraId="577DD7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11BD6D67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1AB9D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3B59755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71F7F9A0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13059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EA20C4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14:paraId="1EF7E568" w14:textId="77777777"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14:paraId="27289755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FEB6EAC" w14:textId="77777777" w:rsidTr="008F3034">
        <w:trPr>
          <w:trHeight w:val="263"/>
          <w:tblCellSpacing w:w="5" w:type="nil"/>
        </w:trPr>
        <w:tc>
          <w:tcPr>
            <w:tcW w:w="568" w:type="dxa"/>
          </w:tcPr>
          <w:p w14:paraId="1AD5C24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14:paraId="158ABD9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14:paraId="069717C1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14:paraId="6D7703CE" w14:textId="77777777"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</w:tc>
        <w:tc>
          <w:tcPr>
            <w:tcW w:w="1417" w:type="dxa"/>
          </w:tcPr>
          <w:p w14:paraId="09D9D4A0" w14:textId="77777777"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14:paraId="04BEA910" w14:textId="77777777"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14:paraId="216881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41378941" w14:textId="77DA5592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559" w:type="dxa"/>
          </w:tcPr>
          <w:p w14:paraId="0A994C7F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36185B5C" w14:textId="4DB2B304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843" w:type="dxa"/>
          </w:tcPr>
          <w:p w14:paraId="5F75AD3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083EEA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06843C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FE115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6F05281" w14:textId="77777777" w:rsidTr="008F3034">
        <w:trPr>
          <w:tblCellSpacing w:w="5" w:type="nil"/>
        </w:trPr>
        <w:tc>
          <w:tcPr>
            <w:tcW w:w="568" w:type="dxa"/>
          </w:tcPr>
          <w:p w14:paraId="6601AE4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14:paraId="6988967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3800380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поступлений налоговых и неналоговых доходов бюджета Троицкого сельского поселения на 2017-2019 гг</w:t>
            </w:r>
          </w:p>
        </w:tc>
        <w:tc>
          <w:tcPr>
            <w:tcW w:w="2268" w:type="dxa"/>
          </w:tcPr>
          <w:p w14:paraId="7B73441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Т.В.Бадаева</w:t>
            </w:r>
          </w:p>
        </w:tc>
        <w:tc>
          <w:tcPr>
            <w:tcW w:w="1417" w:type="dxa"/>
          </w:tcPr>
          <w:p w14:paraId="1008A38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676B5F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330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BD3B07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326E62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65789C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74D98E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2582D4B" w14:textId="77777777" w:rsidTr="008F3034">
        <w:trPr>
          <w:tblCellSpacing w:w="5" w:type="nil"/>
        </w:trPr>
        <w:tc>
          <w:tcPr>
            <w:tcW w:w="568" w:type="dxa"/>
          </w:tcPr>
          <w:p w14:paraId="1C99DE4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14:paraId="55F030B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A89B2C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14:paraId="0F9D1F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</w:t>
            </w:r>
          </w:p>
        </w:tc>
        <w:tc>
          <w:tcPr>
            <w:tcW w:w="1417" w:type="dxa"/>
          </w:tcPr>
          <w:p w14:paraId="19CFCC7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3E4018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D1C053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66FFFE8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5D4065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204F3A7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3042DA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1B860E95" w14:textId="77777777" w:rsidTr="008F3034">
        <w:trPr>
          <w:tblCellSpacing w:w="5" w:type="nil"/>
        </w:trPr>
        <w:tc>
          <w:tcPr>
            <w:tcW w:w="568" w:type="dxa"/>
          </w:tcPr>
          <w:p w14:paraId="1BCE76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14:paraId="5AB758C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14:paraId="46D5526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14:paraId="00C66B1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083ED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7260330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93305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14:paraId="7CB289D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993" w:type="dxa"/>
          </w:tcPr>
          <w:p w14:paraId="685EF0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1D3467F3" w14:textId="7EE24D17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559" w:type="dxa"/>
          </w:tcPr>
          <w:p w14:paraId="7E84A9C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4272CCC1" w14:textId="2B1E73D9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D93647">
              <w:t>20</w:t>
            </w:r>
          </w:p>
        </w:tc>
        <w:tc>
          <w:tcPr>
            <w:tcW w:w="1843" w:type="dxa"/>
          </w:tcPr>
          <w:p w14:paraId="4925D34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B26B8A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8706E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21FDDA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2D8134" w14:textId="77777777" w:rsidTr="008F3034">
        <w:trPr>
          <w:tblCellSpacing w:w="5" w:type="nil"/>
        </w:trPr>
        <w:tc>
          <w:tcPr>
            <w:tcW w:w="568" w:type="dxa"/>
          </w:tcPr>
          <w:p w14:paraId="00EA1A3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14:paraId="2FFD51C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243815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14:paraId="16A8D67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663766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2333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A8368C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E582D5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7D0CE5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7088574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989858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BD3749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C98AE8A" w14:textId="77777777" w:rsidTr="008F3034">
        <w:trPr>
          <w:tblCellSpacing w:w="5" w:type="nil"/>
        </w:trPr>
        <w:tc>
          <w:tcPr>
            <w:tcW w:w="568" w:type="dxa"/>
          </w:tcPr>
          <w:p w14:paraId="2EC27D8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14:paraId="7656BBD8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78714DD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14:paraId="2DC350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  <w:p w14:paraId="390638A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B80A20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356954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4ECDAA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8BF8A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DCDFD6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127FF646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2178D6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A69B7B" w14:textId="77777777" w:rsidTr="008F3034">
        <w:trPr>
          <w:tblCellSpacing w:w="5" w:type="nil"/>
        </w:trPr>
        <w:tc>
          <w:tcPr>
            <w:tcW w:w="568" w:type="dxa"/>
          </w:tcPr>
          <w:p w14:paraId="386CC33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8A022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14:paraId="2C815E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14:paraId="7A16D18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</w:t>
            </w:r>
          </w:p>
          <w:p w14:paraId="5871C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FD3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14:paraId="1741730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4E6766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858793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552E6D12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711B39A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C80C8D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CF9A611" w14:textId="77777777" w:rsidTr="008F3034">
        <w:trPr>
          <w:tblCellSpacing w:w="5" w:type="nil"/>
        </w:trPr>
        <w:tc>
          <w:tcPr>
            <w:tcW w:w="568" w:type="dxa"/>
          </w:tcPr>
          <w:p w14:paraId="19A7855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AB240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14:paraId="336BEF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14:paraId="4ED5BF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9317E6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7ACC21C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Т.В.Бадаева,</w:t>
            </w:r>
          </w:p>
          <w:p w14:paraId="04394EE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593B10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B489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14:paraId="1C1C83A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14:paraId="0CF44DE1" w14:textId="4DEEF491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973CDA">
              <w:t>20</w:t>
            </w:r>
          </w:p>
        </w:tc>
        <w:tc>
          <w:tcPr>
            <w:tcW w:w="1559" w:type="dxa"/>
          </w:tcPr>
          <w:p w14:paraId="135C75E6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5D23C521" w14:textId="473C85A5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973CDA">
              <w:t>20</w:t>
            </w:r>
          </w:p>
        </w:tc>
        <w:tc>
          <w:tcPr>
            <w:tcW w:w="1843" w:type="dxa"/>
          </w:tcPr>
          <w:p w14:paraId="404E7541" w14:textId="07F96F46" w:rsidR="00864AF5" w:rsidRPr="00BB1C1D" w:rsidRDefault="00973CDA" w:rsidP="006F27BA">
            <w:pPr>
              <w:pStyle w:val="ConsPlusCell"/>
              <w:jc w:val="center"/>
            </w:pPr>
            <w:r>
              <w:t>4512,6</w:t>
            </w:r>
          </w:p>
        </w:tc>
        <w:tc>
          <w:tcPr>
            <w:tcW w:w="1700" w:type="dxa"/>
          </w:tcPr>
          <w:p w14:paraId="1CF51888" w14:textId="33F794BE" w:rsidR="00864AF5" w:rsidRPr="00BB1C1D" w:rsidRDefault="00973CDA" w:rsidP="006F27BA">
            <w:pPr>
              <w:pStyle w:val="ConsPlusCell"/>
              <w:jc w:val="center"/>
            </w:pPr>
            <w:r>
              <w:t>4512,6</w:t>
            </w:r>
          </w:p>
        </w:tc>
        <w:tc>
          <w:tcPr>
            <w:tcW w:w="993" w:type="dxa"/>
          </w:tcPr>
          <w:p w14:paraId="01BACBB0" w14:textId="4248BF70" w:rsidR="00864AF5" w:rsidRPr="00BB1C1D" w:rsidRDefault="00973CDA" w:rsidP="006F27BA">
            <w:pPr>
              <w:pStyle w:val="ConsPlusCell"/>
              <w:jc w:val="center"/>
            </w:pPr>
            <w:r>
              <w:t>1793,0</w:t>
            </w:r>
          </w:p>
        </w:tc>
        <w:tc>
          <w:tcPr>
            <w:tcW w:w="1558" w:type="dxa"/>
          </w:tcPr>
          <w:p w14:paraId="7624CDD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86D220E" w14:textId="77777777" w:rsidTr="008F3034">
        <w:trPr>
          <w:tblCellSpacing w:w="5" w:type="nil"/>
        </w:trPr>
        <w:tc>
          <w:tcPr>
            <w:tcW w:w="568" w:type="dxa"/>
          </w:tcPr>
          <w:p w14:paraId="1064DFC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14:paraId="08E983A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14:paraId="016D480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14:paraId="58713FFC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0BB081A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0D6B10E8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7445F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14:paraId="0AACB241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E3F30D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940AD8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14DC13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EFA95ED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4E56865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6B72E8E" w14:textId="77777777" w:rsidTr="008F3034">
        <w:trPr>
          <w:tblCellSpacing w:w="5" w:type="nil"/>
        </w:trPr>
        <w:tc>
          <w:tcPr>
            <w:tcW w:w="568" w:type="dxa"/>
          </w:tcPr>
          <w:p w14:paraId="3DC05A7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14:paraId="175C3A5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4837CA2A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14:paraId="1F5398E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651EBCF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6744867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E7F75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08E2E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FF696E2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2072E7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88DBD2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09E770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A493D08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A738F74" w14:textId="77777777" w:rsidTr="008F3034">
        <w:trPr>
          <w:tblCellSpacing w:w="5" w:type="nil"/>
        </w:trPr>
        <w:tc>
          <w:tcPr>
            <w:tcW w:w="568" w:type="dxa"/>
          </w:tcPr>
          <w:p w14:paraId="3C81BE7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14:paraId="58750D5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14:paraId="1D8D6CD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14:paraId="5596453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00E9E3D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27D56912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2CAE75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14:paraId="6A2D987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14:paraId="723E897B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42D30BD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4B3A2A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6A73619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6772D8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BE4FABA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C4792FE" w14:textId="77777777" w:rsidTr="008F3034">
        <w:trPr>
          <w:tblCellSpacing w:w="5" w:type="nil"/>
        </w:trPr>
        <w:tc>
          <w:tcPr>
            <w:tcW w:w="568" w:type="dxa"/>
          </w:tcPr>
          <w:p w14:paraId="1E5345D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14:paraId="7BAADD6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64FCE79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14:paraId="554DCC7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24AAFDE7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EDB519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4ED71E4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2DB1314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C666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3B26A8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EAE3582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655337BF" w14:textId="77777777" w:rsidTr="008F3034">
        <w:trPr>
          <w:tblCellSpacing w:w="5" w:type="nil"/>
        </w:trPr>
        <w:tc>
          <w:tcPr>
            <w:tcW w:w="568" w:type="dxa"/>
          </w:tcPr>
          <w:p w14:paraId="40DF012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14:paraId="463BF7B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059A999F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о  бюджета Троицкого сельского поселения </w:t>
            </w:r>
          </w:p>
        </w:tc>
        <w:tc>
          <w:tcPr>
            <w:tcW w:w="2268" w:type="dxa"/>
          </w:tcPr>
          <w:p w14:paraId="17042B7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603A795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540B99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F1C09F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31B6AF6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873F37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350B98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AEB70C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973CDA" w:rsidRPr="00BB1C1D" w14:paraId="4625A54E" w14:textId="77777777" w:rsidTr="008F3034">
        <w:trPr>
          <w:tblCellSpacing w:w="5" w:type="nil"/>
        </w:trPr>
        <w:tc>
          <w:tcPr>
            <w:tcW w:w="568" w:type="dxa"/>
          </w:tcPr>
          <w:p w14:paraId="448E7B1F" w14:textId="77777777" w:rsidR="00973CDA" w:rsidRPr="00BB1C1D" w:rsidRDefault="00973CDA" w:rsidP="0097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14:paraId="29161AD9" w14:textId="77777777" w:rsidR="00973CDA" w:rsidRPr="00BB1C1D" w:rsidRDefault="00973CDA" w:rsidP="0097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14:paraId="5010AE5A" w14:textId="77777777" w:rsidR="00973CDA" w:rsidRPr="00BB1C1D" w:rsidRDefault="00973CDA" w:rsidP="0097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14:paraId="2AFDA364" w14:textId="77777777" w:rsidR="00973CDA" w:rsidRPr="00BB1C1D" w:rsidRDefault="00973CDA" w:rsidP="0097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Е.Б.Холодняк;</w:t>
            </w:r>
          </w:p>
          <w:p w14:paraId="5F71EDFF" w14:textId="77777777" w:rsidR="00973CDA" w:rsidRPr="00BB1C1D" w:rsidRDefault="00973CDA" w:rsidP="0097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30C43218" w14:textId="77777777" w:rsidR="00973CDA" w:rsidRPr="00BB1C1D" w:rsidRDefault="00973CDA" w:rsidP="00973CDA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14:paraId="4C11F4C5" w14:textId="77777777" w:rsidR="00973CDA" w:rsidRPr="00BB1C1D" w:rsidRDefault="00973CDA" w:rsidP="00973CD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14:paraId="501FC117" w14:textId="67E804E7" w:rsidR="00973CDA" w:rsidRPr="00BB1C1D" w:rsidRDefault="00973CDA" w:rsidP="00973CDA">
            <w:pPr>
              <w:pStyle w:val="ConsPlusCell"/>
              <w:jc w:val="center"/>
            </w:pPr>
            <w:r w:rsidRPr="00BB1C1D">
              <w:t>20</w:t>
            </w:r>
            <w:r>
              <w:t>20</w:t>
            </w:r>
          </w:p>
        </w:tc>
        <w:tc>
          <w:tcPr>
            <w:tcW w:w="1559" w:type="dxa"/>
          </w:tcPr>
          <w:p w14:paraId="659B4757" w14:textId="77777777" w:rsidR="00973CDA" w:rsidRPr="00BB1C1D" w:rsidRDefault="00973CDA" w:rsidP="00973CDA">
            <w:pPr>
              <w:pStyle w:val="ConsPlusCell"/>
              <w:jc w:val="center"/>
            </w:pPr>
            <w:r w:rsidRPr="00BB1C1D">
              <w:t>31.12.</w:t>
            </w:r>
          </w:p>
          <w:p w14:paraId="6D3F624C" w14:textId="110CD0B1" w:rsidR="00973CDA" w:rsidRPr="00BB1C1D" w:rsidRDefault="00973CDA" w:rsidP="00973CDA">
            <w:pPr>
              <w:pStyle w:val="ConsPlusCell"/>
              <w:jc w:val="center"/>
            </w:pPr>
            <w:r w:rsidRPr="00BB1C1D">
              <w:t>20</w:t>
            </w:r>
            <w:r>
              <w:t>20</w:t>
            </w:r>
          </w:p>
        </w:tc>
        <w:tc>
          <w:tcPr>
            <w:tcW w:w="1843" w:type="dxa"/>
          </w:tcPr>
          <w:p w14:paraId="33AB00BC" w14:textId="5254B66A" w:rsidR="00973CDA" w:rsidRPr="00BB1C1D" w:rsidRDefault="00973CDA" w:rsidP="00973CDA">
            <w:pPr>
              <w:pStyle w:val="ConsPlusCell"/>
              <w:jc w:val="center"/>
            </w:pPr>
            <w:r>
              <w:t>4512,6</w:t>
            </w:r>
          </w:p>
        </w:tc>
        <w:tc>
          <w:tcPr>
            <w:tcW w:w="1700" w:type="dxa"/>
          </w:tcPr>
          <w:p w14:paraId="42480157" w14:textId="323F0F66" w:rsidR="00973CDA" w:rsidRPr="00BB1C1D" w:rsidRDefault="00973CDA" w:rsidP="00973CDA">
            <w:pPr>
              <w:pStyle w:val="ConsPlusCell"/>
              <w:jc w:val="center"/>
            </w:pPr>
            <w:r>
              <w:t>4512,6</w:t>
            </w:r>
          </w:p>
        </w:tc>
        <w:tc>
          <w:tcPr>
            <w:tcW w:w="993" w:type="dxa"/>
          </w:tcPr>
          <w:p w14:paraId="5F6846A9" w14:textId="5511B7F7" w:rsidR="00973CDA" w:rsidRPr="00BB1C1D" w:rsidRDefault="00973CDA" w:rsidP="00973CDA">
            <w:pPr>
              <w:pStyle w:val="ConsPlusCell"/>
              <w:jc w:val="center"/>
            </w:pPr>
            <w:r>
              <w:t>1793,0</w:t>
            </w:r>
          </w:p>
        </w:tc>
        <w:tc>
          <w:tcPr>
            <w:tcW w:w="1558" w:type="dxa"/>
          </w:tcPr>
          <w:p w14:paraId="3E6BBC5A" w14:textId="77777777" w:rsidR="00973CDA" w:rsidRPr="00BB1C1D" w:rsidRDefault="00973CDA" w:rsidP="00973CDA">
            <w:pPr>
              <w:pStyle w:val="ConsPlusCell"/>
              <w:jc w:val="center"/>
            </w:pPr>
          </w:p>
        </w:tc>
      </w:tr>
      <w:tr w:rsidR="00864AF5" w:rsidRPr="00BB1C1D" w14:paraId="31E78BE6" w14:textId="77777777" w:rsidTr="008F3034">
        <w:trPr>
          <w:tblCellSpacing w:w="5" w:type="nil"/>
        </w:trPr>
        <w:tc>
          <w:tcPr>
            <w:tcW w:w="568" w:type="dxa"/>
          </w:tcPr>
          <w:p w14:paraId="2D438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14:paraId="13C49D6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14:paraId="78D707C6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14:paraId="6C52403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2A75B56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Е.Б.Холодняк;</w:t>
            </w:r>
          </w:p>
          <w:p w14:paraId="00BBFD6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</w:t>
            </w:r>
          </w:p>
        </w:tc>
        <w:tc>
          <w:tcPr>
            <w:tcW w:w="1417" w:type="dxa"/>
          </w:tcPr>
          <w:p w14:paraId="46F5A7AB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592E34F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5CB3F2D3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7780D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996791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CAF6D9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610C5A0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40B0344" w14:textId="77777777" w:rsidTr="008F3034">
        <w:trPr>
          <w:tblCellSpacing w:w="5" w:type="nil"/>
        </w:trPr>
        <w:tc>
          <w:tcPr>
            <w:tcW w:w="568" w:type="dxa"/>
          </w:tcPr>
          <w:p w14:paraId="1AEED4F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14:paraId="576CDC79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14:paraId="0652F88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14:paraId="381451F1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Е.Б.Холодняк, </w:t>
            </w:r>
          </w:p>
          <w:p w14:paraId="7E9865A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3780FFCD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6AE23B9A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1584E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14:paraId="489737A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C3ED6E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1C883C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474A4B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49DED8A4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529EA3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D1E06BD" w14:textId="77777777" w:rsidTr="008F3034">
        <w:trPr>
          <w:tblCellSpacing w:w="5" w:type="nil"/>
        </w:trPr>
        <w:tc>
          <w:tcPr>
            <w:tcW w:w="568" w:type="dxa"/>
          </w:tcPr>
          <w:p w14:paraId="258925E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14:paraId="197F5B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45EC7FA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14:paraId="1CEAA71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Е.Б.Холодняк, </w:t>
            </w:r>
          </w:p>
          <w:p w14:paraId="7118699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С.В.Бархатова,</w:t>
            </w:r>
          </w:p>
          <w:p w14:paraId="50973F4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5562C7C7" w14:textId="77777777"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970059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F5351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A03912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5E3283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68A39D8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FD9DCF9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23FF1D9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77BF4F9D" w14:textId="77777777" w:rsidTr="008F3034">
        <w:trPr>
          <w:tblCellSpacing w:w="5" w:type="nil"/>
        </w:trPr>
        <w:tc>
          <w:tcPr>
            <w:tcW w:w="568" w:type="dxa"/>
          </w:tcPr>
          <w:p w14:paraId="53F549F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14:paraId="04226EC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37FFB18A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14:paraId="674AC349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3A32C4A7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48AEFB2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Т.В.Бадаева,</w:t>
            </w:r>
          </w:p>
          <w:p w14:paraId="7BE6FC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75D1E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E024DA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296ADFF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041F7CE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470644F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68F816E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5A65356C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56E53311" w14:textId="77777777" w:rsidTr="008F3034">
        <w:trPr>
          <w:tblCellSpacing w:w="5" w:type="nil"/>
        </w:trPr>
        <w:tc>
          <w:tcPr>
            <w:tcW w:w="568" w:type="dxa"/>
          </w:tcPr>
          <w:p w14:paraId="015E430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14:paraId="183D58B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0480B4F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14:paraId="58ABBA0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4F0C0FD2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1CC7BDB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5C5C177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E9BBD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7C5D92C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3C293C2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4F6B0B1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1CD264D" w14:textId="77777777" w:rsidTr="008F3034">
        <w:trPr>
          <w:tblCellSpacing w:w="5" w:type="nil"/>
        </w:trPr>
        <w:tc>
          <w:tcPr>
            <w:tcW w:w="568" w:type="dxa"/>
          </w:tcPr>
          <w:p w14:paraId="31E4F8E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14:paraId="382E8F9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14:paraId="6D465DA1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14:paraId="3F82CCE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17FC2EB6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4098BFB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EFF301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5EE491B5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01B6C52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BB6B220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0ADC559D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228CCB1" w14:textId="77777777" w:rsidTr="008F3034">
        <w:trPr>
          <w:tblCellSpacing w:w="5" w:type="nil"/>
        </w:trPr>
        <w:tc>
          <w:tcPr>
            <w:tcW w:w="568" w:type="dxa"/>
          </w:tcPr>
          <w:p w14:paraId="76432FA3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14:paraId="0A876DFD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14:paraId="08933A7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14:paraId="13357EA8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экономики и финансов Е.Б.Холодняк</w:t>
            </w:r>
          </w:p>
        </w:tc>
        <w:tc>
          <w:tcPr>
            <w:tcW w:w="1417" w:type="dxa"/>
          </w:tcPr>
          <w:p w14:paraId="0648ADB4" w14:textId="77777777"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14:paraId="2D3C8E7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0732F874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9721F9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3A335041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5D9AAA5F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1186F9C6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2A7683C6" w14:textId="77777777" w:rsidTr="008F3034">
        <w:trPr>
          <w:tblCellSpacing w:w="5" w:type="nil"/>
        </w:trPr>
        <w:tc>
          <w:tcPr>
            <w:tcW w:w="568" w:type="dxa"/>
          </w:tcPr>
          <w:p w14:paraId="724158C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FF77FCB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14:paraId="64EE73D3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14:paraId="2ADE40C4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2B677440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Ведущий специалист Т.В.Бадаева</w:t>
            </w:r>
          </w:p>
          <w:p w14:paraId="3AE374F2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0A3C82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14:paraId="7AC023D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382BB610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F45E3F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14:paraId="5CD0A04E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4AA2AF45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14:paraId="5E2AC939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01BC5FAB" w14:textId="77777777" w:rsidTr="008F3034">
        <w:trPr>
          <w:tblCellSpacing w:w="5" w:type="nil"/>
        </w:trPr>
        <w:tc>
          <w:tcPr>
            <w:tcW w:w="568" w:type="dxa"/>
          </w:tcPr>
          <w:p w14:paraId="1FAA044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58728D87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14:paraId="3DAC524E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14:paraId="16DE4125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6775F4D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14:paraId="333FCCF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14:paraId="31A774FA" w14:textId="48E81AE8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C16535">
              <w:t>20</w:t>
            </w:r>
          </w:p>
        </w:tc>
        <w:tc>
          <w:tcPr>
            <w:tcW w:w="1559" w:type="dxa"/>
          </w:tcPr>
          <w:p w14:paraId="003F72B7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14:paraId="1D208C6E" w14:textId="5EE8325C" w:rsidR="00864AF5" w:rsidRPr="00BB1C1D" w:rsidRDefault="00864AF5" w:rsidP="006F27BA">
            <w:pPr>
              <w:pStyle w:val="ConsPlusCell"/>
              <w:jc w:val="center"/>
            </w:pPr>
            <w:r w:rsidRPr="00BB1C1D">
              <w:t>20</w:t>
            </w:r>
            <w:r w:rsidR="00C16535">
              <w:t>20</w:t>
            </w:r>
          </w:p>
        </w:tc>
        <w:tc>
          <w:tcPr>
            <w:tcW w:w="1843" w:type="dxa"/>
          </w:tcPr>
          <w:p w14:paraId="04B8296A" w14:textId="1D6A1371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700" w:type="dxa"/>
          </w:tcPr>
          <w:p w14:paraId="28197404" w14:textId="1D4DC408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993" w:type="dxa"/>
          </w:tcPr>
          <w:p w14:paraId="7384933E" w14:textId="40882A89" w:rsidR="00864AF5" w:rsidRPr="00BB1C1D" w:rsidRDefault="00C16535" w:rsidP="006F27BA">
            <w:pPr>
              <w:pStyle w:val="ConsPlusCell"/>
              <w:jc w:val="center"/>
            </w:pPr>
            <w:r>
              <w:t>54,0</w:t>
            </w:r>
          </w:p>
        </w:tc>
        <w:tc>
          <w:tcPr>
            <w:tcW w:w="1558" w:type="dxa"/>
          </w:tcPr>
          <w:p w14:paraId="4011B0E7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33E520D1" w14:textId="77777777" w:rsidTr="008F3034">
        <w:trPr>
          <w:tblCellSpacing w:w="5" w:type="nil"/>
        </w:trPr>
        <w:tc>
          <w:tcPr>
            <w:tcW w:w="568" w:type="dxa"/>
          </w:tcPr>
          <w:p w14:paraId="32AEDD1E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14:paraId="79659200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14:paraId="489F137E" w14:textId="77777777"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14:paraId="19BBAE9B" w14:textId="77777777"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экономики и финансов Е.Б.Холодняк</w:t>
            </w:r>
          </w:p>
        </w:tc>
        <w:tc>
          <w:tcPr>
            <w:tcW w:w="1417" w:type="dxa"/>
          </w:tcPr>
          <w:p w14:paraId="50261E04" w14:textId="77777777"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14:paraId="615A51A6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60FB311C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1F97D6EA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14:paraId="1F1C9D63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14:paraId="27CE924B" w14:textId="77777777"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14:paraId="3ACF0AFB" w14:textId="77777777"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14:paraId="4B7151E2" w14:textId="77777777" w:rsidTr="008F3034">
        <w:trPr>
          <w:trHeight w:val="360"/>
          <w:tblCellSpacing w:w="5" w:type="nil"/>
        </w:trPr>
        <w:tc>
          <w:tcPr>
            <w:tcW w:w="568" w:type="dxa"/>
          </w:tcPr>
          <w:p w14:paraId="7828BF66" w14:textId="77777777"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14:paraId="4E43A537" w14:textId="77777777"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14:paraId="1425FD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108984D8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06BA1FB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2D5FBA19" w14:textId="77777777"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4C732C4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14:paraId="79762F13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45F8EE34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14:paraId="79D715EE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14:paraId="7D2E906A" w14:textId="77777777" w:rsidTr="008F3034">
        <w:trPr>
          <w:tblCellSpacing w:w="5" w:type="nil"/>
        </w:trPr>
        <w:tc>
          <w:tcPr>
            <w:tcW w:w="568" w:type="dxa"/>
            <w:vMerge w:val="restart"/>
          </w:tcPr>
          <w:p w14:paraId="555F1FD8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14:paraId="3D558C04" w14:textId="77777777"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14:paraId="15E95A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14:paraId="3442EE8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14:paraId="06C5395D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57365E7B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5BD36947" w14:textId="55249005" w:rsidR="00864AF5" w:rsidRPr="00BB1C1D" w:rsidRDefault="00C16535" w:rsidP="006F27BA">
            <w:pPr>
              <w:pStyle w:val="ConsPlusCell"/>
            </w:pPr>
            <w:r>
              <w:t>4566,6</w:t>
            </w:r>
          </w:p>
        </w:tc>
        <w:tc>
          <w:tcPr>
            <w:tcW w:w="1700" w:type="dxa"/>
          </w:tcPr>
          <w:p w14:paraId="587AA567" w14:textId="1FDEFA12" w:rsidR="00864AF5" w:rsidRPr="00BB1C1D" w:rsidRDefault="00C16535" w:rsidP="006F27BA">
            <w:pPr>
              <w:pStyle w:val="ConsPlusCell"/>
            </w:pPr>
            <w:r>
              <w:t>4566,6</w:t>
            </w:r>
          </w:p>
        </w:tc>
        <w:tc>
          <w:tcPr>
            <w:tcW w:w="993" w:type="dxa"/>
          </w:tcPr>
          <w:p w14:paraId="74284DBC" w14:textId="0EDBFBF3" w:rsidR="00864AF5" w:rsidRPr="00BB1C1D" w:rsidRDefault="00C16535" w:rsidP="006F27BA">
            <w:pPr>
              <w:pStyle w:val="ConsPlusCell"/>
            </w:pPr>
            <w:r>
              <w:t>1847,0</w:t>
            </w:r>
          </w:p>
        </w:tc>
        <w:tc>
          <w:tcPr>
            <w:tcW w:w="1558" w:type="dxa"/>
          </w:tcPr>
          <w:p w14:paraId="493B2606" w14:textId="77777777" w:rsidR="00864AF5" w:rsidRPr="00BB1C1D" w:rsidRDefault="00864AF5" w:rsidP="006F27BA">
            <w:pPr>
              <w:pStyle w:val="ConsPlusCell"/>
            </w:pPr>
          </w:p>
        </w:tc>
      </w:tr>
      <w:tr w:rsidR="00864AF5" w:rsidRPr="00BB1C1D" w14:paraId="5874EBE6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7E67235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55C3FC73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14:paraId="5AB8B00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Е.Б.Холодняк, </w:t>
            </w:r>
          </w:p>
          <w:p w14:paraId="7A44E33D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С.В.Бархатова,</w:t>
            </w:r>
          </w:p>
          <w:p w14:paraId="3FCE82F0" w14:textId="77777777"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</w:p>
          <w:p w14:paraId="7081FAB1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14:paraId="457B3968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14:paraId="23563435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14:paraId="3D1D9E89" w14:textId="77777777"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14:paraId="3457B9F9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14:paraId="248654E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14:paraId="50732A42" w14:textId="77777777"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14:paraId="6D28FCBE" w14:textId="77777777" w:rsidR="00864AF5" w:rsidRPr="00BB1C1D" w:rsidRDefault="00864AF5" w:rsidP="006F27BA">
            <w:pPr>
              <w:pStyle w:val="ConsPlusCell"/>
            </w:pPr>
          </w:p>
        </w:tc>
      </w:tr>
      <w:tr w:rsidR="00B163B9" w:rsidRPr="00BB1C1D" w14:paraId="4CFE9249" w14:textId="77777777" w:rsidTr="008F3034">
        <w:trPr>
          <w:tblCellSpacing w:w="5" w:type="nil"/>
        </w:trPr>
        <w:tc>
          <w:tcPr>
            <w:tcW w:w="568" w:type="dxa"/>
            <w:vMerge/>
          </w:tcPr>
          <w:p w14:paraId="188ABF8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14:paraId="1DE28A3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14:paraId="16DE2B17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14:paraId="6427DE88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14:paraId="6890E4B1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14:paraId="19A2399D" w14:textId="77777777"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14:paraId="7F88F14E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14:paraId="439E4328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14:paraId="29833F42" w14:textId="77777777"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14:paraId="2B1E85C5" w14:textId="77777777" w:rsidR="00B163B9" w:rsidRPr="00BB1C1D" w:rsidRDefault="00B163B9" w:rsidP="006F27BA">
            <w:pPr>
              <w:pStyle w:val="ConsPlusCell"/>
            </w:pPr>
          </w:p>
        </w:tc>
      </w:tr>
    </w:tbl>
    <w:p w14:paraId="5D3ECB71" w14:textId="77777777"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1" w:name="Par1413"/>
      <w:bookmarkEnd w:id="1"/>
    </w:p>
    <w:p w14:paraId="4D0F8E7C" w14:textId="77777777" w:rsidR="008F3034" w:rsidRPr="00BB1C1D" w:rsidRDefault="00C16535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68D9FC1E" w14:textId="77777777" w:rsidR="008F3034" w:rsidRPr="00BB1C1D" w:rsidRDefault="00C16535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14:paraId="0DA9F945" w14:textId="77777777" w:rsidR="008F3034" w:rsidRPr="00BB1C1D" w:rsidRDefault="00C16535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14:paraId="4CCC94E5" w14:textId="77777777"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5F79044F" w14:textId="77777777"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4DA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73CDA"/>
    <w:rsid w:val="00981A78"/>
    <w:rsid w:val="0098798E"/>
    <w:rsid w:val="009965E9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311E"/>
    <w:rsid w:val="00AC5D00"/>
    <w:rsid w:val="00AD4286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D687D"/>
    <w:rsid w:val="00BE5BD3"/>
    <w:rsid w:val="00BF5DA9"/>
    <w:rsid w:val="00C07FE9"/>
    <w:rsid w:val="00C12837"/>
    <w:rsid w:val="00C1430F"/>
    <w:rsid w:val="00C16535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93647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B1A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2258-3C23-417A-B2C9-B3FA5F1F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Сельское поселение Троицкое</cp:lastModifiedBy>
  <cp:revision>16</cp:revision>
  <cp:lastPrinted>2019-07-03T11:02:00Z</cp:lastPrinted>
  <dcterms:created xsi:type="dcterms:W3CDTF">2018-07-06T08:27:00Z</dcterms:created>
  <dcterms:modified xsi:type="dcterms:W3CDTF">2020-07-07T11:48:00Z</dcterms:modified>
</cp:coreProperties>
</file>