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Отчет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исполнении плана реализации муниципальной программы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Троицкого сельского поселения «Оформление права собственности на муниципальное имущество и бесхозяйные объекты муниципального образования «Троицкое сельское поселение»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9 месяцев</w:t>
      </w:r>
      <w:r>
        <w:rPr>
          <w:rFonts w:ascii="Times New Roman" w:hAnsi="Times New Roman"/>
          <w:b w:val="1"/>
          <w:sz w:val="28"/>
        </w:rPr>
        <w:t xml:space="preserve"> 2023 года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10 октября 2023 года</w:t>
      </w:r>
    </w:p>
    <w:p w14:paraId="0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Администрация Троицкого сельского поселения  является ответственным исполнителем муниципальной программ</w:t>
      </w:r>
      <w:r>
        <w:rPr>
          <w:rFonts w:ascii="Times New Roman" w:hAnsi="Times New Roman"/>
          <w:sz w:val="28"/>
        </w:rPr>
        <w:t>ы Троицкого сельского поселения «Оформление права собственности на муниципальное имущество и бесхозяйные объекты муниципального образования «Троицкое сельское поселение» 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Муниципальная программа «Оформление права собственности на муниципальное имуществ</w:t>
      </w:r>
      <w:r>
        <w:rPr>
          <w:rFonts w:ascii="Times New Roman" w:hAnsi="Times New Roman"/>
          <w:sz w:val="28"/>
        </w:rPr>
        <w:t>о и бесхозяйные объекты муниципального образования «Троицкое сельское поселение» утверждена постановлением Администрации Троицкого сельского поселения от 26.10.2018г. № 192.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 в 2023 году предусмотрено 83,0 </w:t>
      </w:r>
      <w:r>
        <w:rPr>
          <w:rFonts w:ascii="Times New Roman" w:hAnsi="Times New Roman"/>
          <w:sz w:val="28"/>
        </w:rPr>
        <w:t>ты</w:t>
      </w:r>
      <w:r>
        <w:rPr>
          <w:rFonts w:ascii="Times New Roman" w:hAnsi="Times New Roman"/>
          <w:sz w:val="28"/>
        </w:rPr>
        <w:t>с.рублей</w:t>
      </w:r>
      <w:r>
        <w:rPr>
          <w:rFonts w:ascii="Times New Roman" w:hAnsi="Times New Roman"/>
          <w:sz w:val="28"/>
        </w:rPr>
        <w:t xml:space="preserve">. Фактическое освоение средств муниципальной программы по итогам 9 месяцев 2023 года составило 77,0 </w:t>
      </w:r>
      <w:r>
        <w:rPr>
          <w:rFonts w:ascii="Times New Roman" w:hAnsi="Times New Roman"/>
          <w:sz w:val="28"/>
        </w:rPr>
        <w:t>тыс.рублей</w:t>
      </w:r>
      <w:r>
        <w:rPr>
          <w:rFonts w:ascii="Times New Roman" w:hAnsi="Times New Roman"/>
          <w:sz w:val="28"/>
        </w:rPr>
        <w:t>, или 92,7%.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0E000000">
      <w:pPr>
        <w:spacing w:after="0" w:line="240" w:lineRule="auto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1. «Повышение эффективности управления муници</w:t>
      </w:r>
      <w:r>
        <w:rPr>
          <w:rFonts w:ascii="Times New Roman" w:hAnsi="Times New Roman"/>
          <w:sz w:val="28"/>
        </w:rPr>
        <w:t>пальным имуществом и приватизации» .</w:t>
      </w: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реализации данной подпрограммы выполнены следующие мероприятия:</w:t>
      </w:r>
    </w:p>
    <w:p w14:paraId="10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межевого плана в отношении земельного участка расположенного по адресу  Ростовская область, Неклиновский район, </w:t>
      </w:r>
      <w:r>
        <w:rPr>
          <w:rFonts w:ascii="Times New Roman" w:hAnsi="Times New Roman"/>
          <w:sz w:val="28"/>
        </w:rPr>
        <w:t>с.Троицкое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пер.М</w:t>
      </w:r>
      <w:r>
        <w:rPr>
          <w:rFonts w:ascii="Times New Roman" w:hAnsi="Times New Roman"/>
          <w:sz w:val="28"/>
        </w:rPr>
        <w:t>ежевой</w:t>
      </w:r>
      <w:r>
        <w:rPr>
          <w:rFonts w:ascii="Times New Roman" w:hAnsi="Times New Roman"/>
          <w:sz w:val="28"/>
        </w:rPr>
        <w:t xml:space="preserve"> 12,</w:t>
      </w:r>
    </w:p>
    <w:p w14:paraId="11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изготовление технического плана в отношении здания складских помещений, находящихся по адресу: Ростовская область, Неклиновский район, </w:t>
      </w:r>
      <w:r>
        <w:rPr>
          <w:rFonts w:ascii="Times New Roman" w:hAnsi="Times New Roman"/>
          <w:sz w:val="28"/>
        </w:rPr>
        <w:t>п.Луначарский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ул.Садовая</w:t>
      </w:r>
      <w:r>
        <w:rPr>
          <w:rFonts w:ascii="Times New Roman" w:hAnsi="Times New Roman"/>
          <w:sz w:val="28"/>
        </w:rPr>
        <w:t xml:space="preserve"> 45.</w:t>
      </w:r>
    </w:p>
    <w:p w14:paraId="12000000">
      <w:pPr>
        <w:spacing w:after="0" w:line="240" w:lineRule="auto"/>
        <w:ind w:firstLine="0" w:left="78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 9 месяцев 2023г. для уточнения, присвоения и изменения милицейских </w:t>
      </w:r>
      <w:r>
        <w:rPr>
          <w:rFonts w:ascii="Times New Roman" w:hAnsi="Times New Roman"/>
          <w:color w:val="000000"/>
          <w:sz w:val="28"/>
        </w:rPr>
        <w:t xml:space="preserve">адресов выдано 33 распоряжения. В Федеральную информационную адресную систему (ФИАС) внесено 30 адресов. Продолжается работа по размещению кадастровых номеров объектов недвижимости в Федеральной информационной адресной системе (ФИАС). </w:t>
      </w: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постановки на кадастровый учет земельных участков выдано 6 выписок из </w:t>
      </w:r>
      <w:r>
        <w:rPr>
          <w:rFonts w:ascii="Times New Roman" w:hAnsi="Times New Roman"/>
          <w:color w:val="000000"/>
          <w:sz w:val="28"/>
        </w:rPr>
        <w:t>похозяйственной</w:t>
      </w:r>
      <w:r>
        <w:rPr>
          <w:rFonts w:ascii="Times New Roman" w:hAnsi="Times New Roman"/>
          <w:color w:val="000000"/>
          <w:sz w:val="28"/>
        </w:rPr>
        <w:t xml:space="preserve"> книги. </w:t>
      </w:r>
    </w:p>
    <w:p w14:paraId="15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2023 г. отмежевано 2 земельных участка (пер. Межевой, 12, ул. Садовая, 45).</w:t>
      </w:r>
    </w:p>
    <w:p w14:paraId="16000000">
      <w:pPr>
        <w:spacing w:after="0" w:line="240" w:lineRule="auto"/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Поставлены на кадастровый учет и оформлены в муниципальную собственность 2 земельных участка (ул. Фрунзе, 62, пер. Межевой, 12). Документация по имеющимся земельным участкам приведена в соответствие.</w:t>
      </w:r>
    </w:p>
    <w:p w14:paraId="17000000">
      <w:pPr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сдачи в аренду муниципального имущества в доход бюджета администрации Троицкого сельского поселения поступило 79,044 тыс. руб. </w:t>
      </w:r>
    </w:p>
    <w:p w14:paraId="18000000">
      <w:pPr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Продолжается работа по выявлению бесхозяйного и выморочного имущества (9 объектов). Приняты нормативно-правовые акты по выявлению бесхозяйных вещей, выморочного имущества и принятию их в муниципальную собственность. Проведена работа по оформлению выморочного имущества в муниципальную собственность</w:t>
      </w:r>
      <w:r>
        <w:rPr>
          <w:rFonts w:ascii="Times New Roman" w:hAnsi="Times New Roman"/>
          <w:color w:val="000000"/>
          <w:sz w:val="28"/>
        </w:rPr>
        <w:t>.</w:t>
      </w:r>
    </w:p>
    <w:p w14:paraId="19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сегодняшний день жилой дом пос. Луначарский, ул. Садовая, 45 оформлен в муниципальную собственность. Продолжается работа по оформлению земельного участка под этим объектом в муниципальную собственность. В администрацию Неклиновского района направлена схема земельного участка на утверждение.</w:t>
      </w:r>
    </w:p>
    <w:p w14:paraId="1A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 открытый аукцион на право заключения договора на размещения нестационарного торгового объекта по адресу: с. Троицкое, ул. Ленина, 59-д, по итогам которого заключен договор.</w:t>
      </w:r>
    </w:p>
    <w:p w14:paraId="1B000000">
      <w:pPr>
        <w:ind w:firstLine="708" w:left="0"/>
        <w:jc w:val="both"/>
        <w:rPr>
          <w:rFonts w:ascii="Times New Roman" w:hAnsi="Times New Roman"/>
          <w:color w:val="C0504D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8"/>
        </w:rPr>
        <w:t>Подпрограмма 2 «Создание условий для реализации муниципальной программы»</w:t>
      </w: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 </w:t>
      </w: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сновные мероприятия подпрограммы реализуются в течении 2023 года на постоянной основе.</w:t>
      </w:r>
    </w:p>
    <w:p w14:paraId="2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 контрольных событий по данной программе не наступил.</w:t>
      </w:r>
    </w:p>
    <w:p w14:paraId="21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специалист</w:t>
      </w:r>
    </w:p>
    <w:p w14:paraId="2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Троицкого сельского поселения:                                </w:t>
      </w:r>
      <w:r>
        <w:rPr>
          <w:rFonts w:ascii="Times New Roman" w:hAnsi="Times New Roman"/>
          <w:sz w:val="28"/>
        </w:rPr>
        <w:t>М.В</w:t>
      </w:r>
      <w:r>
        <w:rPr>
          <w:rFonts w:ascii="Times New Roman" w:hAnsi="Times New Roman"/>
          <w:sz w:val="28"/>
        </w:rPr>
        <w:t>.Токарева</w:t>
      </w:r>
    </w:p>
    <w:p w14:paraId="25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28000000">
      <w:pPr>
        <w:sectPr>
          <w:pgSz w:h="16838" w:orient="portrait" w:w="11906"/>
          <w:pgMar w:bottom="567" w:footer="709" w:gutter="0" w:header="709" w:left="1134" w:right="851" w:top="567"/>
        </w:sectPr>
      </w:pPr>
    </w:p>
    <w:p w14:paraId="29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widowControl w:val="0"/>
        <w:ind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12</w:t>
      </w:r>
    </w:p>
    <w:p w14:paraId="2B000000">
      <w:pPr>
        <w:pStyle w:val="Style_1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ОТЧЕТ</w:t>
      </w:r>
    </w:p>
    <w:p w14:paraId="2C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«Оформление права собственности на муниципальное имущество и бесхозяйные объекты муниципального образовани</w:t>
      </w:r>
      <w:r>
        <w:rPr>
          <w:rFonts w:ascii="Times New Roman" w:hAnsi="Times New Roman"/>
          <w:sz w:val="28"/>
        </w:rPr>
        <w:t>я «Троицкое сельское поселение</w:t>
      </w:r>
      <w:r>
        <w:rPr>
          <w:rFonts w:ascii="Times New Roman" w:hAnsi="Times New Roman"/>
          <w:sz w:val="24"/>
        </w:rPr>
        <w:t xml:space="preserve">»    </w:t>
      </w:r>
    </w:p>
    <w:p w14:paraId="2D000000">
      <w:pPr>
        <w:pStyle w:val="Style_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  9 месяцев  2023 г.</w:t>
      </w:r>
    </w:p>
    <w:p w14:paraId="2E000000">
      <w:pPr>
        <w:pStyle w:val="Style_1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</w:t>
            </w:r>
            <w:r>
              <w:rPr>
                <w:rFonts w:ascii="Times New Roman" w:hAnsi="Times New Roman"/>
                <w:sz w:val="24"/>
              </w:rPr>
              <w:t xml:space="preserve">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  <w:r>
              <w:rPr>
                <w:rFonts w:ascii="Times New Roman" w:hAnsi="Times New Roman"/>
                <w:sz w:val="24"/>
              </w:rPr>
              <w:t>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3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B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</w:rPr>
              <w:t>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E000000">
      <w:pPr>
        <w:pStyle w:val="Style_1"/>
        <w:ind/>
        <w:jc w:val="center"/>
        <w:rPr>
          <w:rFonts w:ascii="Times New Roman" w:hAnsi="Times New Roman"/>
          <w:sz w:val="6"/>
        </w:rPr>
      </w:pPr>
    </w:p>
    <w:p w14:paraId="3F000000">
      <w:pPr>
        <w:pStyle w:val="Style_1"/>
        <w:ind/>
        <w:jc w:val="center"/>
        <w:rPr>
          <w:rFonts w:ascii="Times New Roman" w:hAnsi="Times New Roman"/>
          <w:sz w:val="2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«Повышение эффективности управления муниципальным имуществом и приватизации»</w:t>
            </w:r>
          </w:p>
          <w:p w14:paraId="4D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</w:p>
          <w:p w14:paraId="4E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Троицкого сельского поселения            (ведущий специалист </w:t>
            </w:r>
          </w:p>
          <w:p w14:paraId="5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Токарева М.В.)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1.1. </w:t>
            </w:r>
            <w:r>
              <w:rPr>
                <w:rFonts w:ascii="Times New Roman" w:hAnsi="Times New Roman"/>
              </w:rPr>
              <w:t xml:space="preserve">Изготовление технической документации на объекты недвижимого имущества (технические планы и кадастровые </w:t>
            </w:r>
            <w:r>
              <w:rPr>
                <w:rFonts w:ascii="Times New Roman" w:hAnsi="Times New Roman"/>
              </w:rPr>
              <w:t>паспорта)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1.2. Подготовка документов, содержащих необходимые сведения для осуществления государственного кадастрового учета </w:t>
            </w:r>
            <w:r>
              <w:rPr>
                <w:rFonts w:ascii="Times New Roman" w:hAnsi="Times New Roman"/>
                <w:sz w:val="24"/>
              </w:rPr>
              <w:t>земельных объектов</w:t>
            </w:r>
          </w:p>
          <w:p w14:paraId="6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</w:rPr>
              <w:t>специалист</w:t>
            </w:r>
          </w:p>
          <w:p w14:paraId="6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 1 контракт на выполнение кадастровых работ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1.3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Оценка рыночной стоимости объектов недвижимого и движимого </w:t>
            </w:r>
            <w:r>
              <w:rPr>
                <w:rFonts w:ascii="Times New Roman" w:hAnsi="Times New Roman"/>
                <w:sz w:val="24"/>
              </w:rPr>
              <w:t>имущества</w:t>
            </w:r>
          </w:p>
          <w:p w14:paraId="76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6,0 - срок мероприятий  не наступил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 муниципальной программы 1.1.1 &lt;3&gt;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«Создание условий для реализации </w:t>
            </w:r>
            <w:r>
              <w:rPr>
                <w:rFonts w:ascii="Times New Roman" w:hAnsi="Times New Roman"/>
                <w:sz w:val="24"/>
              </w:rPr>
              <w:t>муниципальной программы»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программного комплекса по управлению имуществом и земельными ресурсами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одготовка проектов решений по вопросам управления и распоряжения муниципальным </w:t>
            </w:r>
            <w:r>
              <w:rPr>
                <w:rFonts w:ascii="Times New Roman" w:hAnsi="Times New Roman"/>
                <w:sz w:val="24"/>
              </w:rPr>
              <w:t>имущством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  <w:p w14:paraId="AF000000">
            <w:pPr>
              <w:widowControl w:val="0"/>
              <w:spacing w:after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B0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Токарева М.В.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</w:tbl>
    <w:p w14:paraId="C0000000">
      <w:pPr>
        <w:widowControl w:val="0"/>
        <w:ind w:firstLine="284" w:left="0" w:right="-284"/>
        <w:jc w:val="both"/>
        <w:rPr>
          <w:sz w:val="24"/>
        </w:rPr>
      </w:pPr>
      <w:bookmarkStart w:id="2" w:name="Par1413"/>
      <w:bookmarkEnd w:id="2"/>
    </w:p>
    <w:sectPr>
      <w:pgSz w:h="11906" w:orient="landscape" w:w="16838"/>
      <w:pgMar w:bottom="85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 Indent"/>
    <w:basedOn w:val="Style_4"/>
    <w:link w:val="Style_10_ch"/>
    <w:pPr>
      <w:spacing w:after="0" w:line="240" w:lineRule="auto"/>
      <w:ind w:firstLine="578" w:left="0"/>
      <w:jc w:val="both"/>
    </w:pPr>
    <w:rPr>
      <w:rFonts w:ascii="Times New Roman" w:hAnsi="Times New Roman"/>
      <w:sz w:val="28"/>
    </w:rPr>
  </w:style>
  <w:style w:styleId="Style_10_ch" w:type="character">
    <w:name w:val="Body Text Indent"/>
    <w:basedOn w:val="Style_4_ch"/>
    <w:link w:val="Style_10"/>
    <w:rPr>
      <w:rFonts w:ascii="Times New Roman" w:hAnsi="Times New Roman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Обычный1"/>
    <w:link w:val="Style_12_ch"/>
    <w:rPr>
      <w:sz w:val="22"/>
    </w:rPr>
  </w:style>
  <w:style w:styleId="Style_12_ch" w:type="character">
    <w:name w:val="Обычный1"/>
    <w:link w:val="Style_12"/>
    <w:rPr>
      <w:sz w:val="22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No Spacing"/>
    <w:link w:val="Style_14_ch"/>
    <w:rPr>
      <w:sz w:val="22"/>
    </w:rPr>
  </w:style>
  <w:style w:styleId="Style_14_ch" w:type="character">
    <w:name w:val="No Spacing"/>
    <w:link w:val="Style_14"/>
    <w:rPr>
      <w:sz w:val="22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ind/>
      <w:jc w:val="both"/>
    </w:pPr>
    <w:rPr>
      <w:rFonts w:ascii="XO Thames" w:hAnsi="XO Thames"/>
    </w:rPr>
  </w:style>
  <w:style w:styleId="Style_20_ch" w:type="character">
    <w:name w:val="Header and Footer"/>
    <w:link w:val="Style_20"/>
    <w:rPr>
      <w:rFonts w:ascii="XO Thames" w:hAnsi="XO Thames"/>
    </w:rPr>
  </w:style>
  <w:style w:styleId="Style_21" w:type="paragraph">
    <w:name w:val="toc 9"/>
    <w:next w:val="Style_4"/>
    <w:link w:val="Style_21_ch"/>
    <w:uiPriority w:val="39"/>
    <w:pPr>
      <w:ind w:firstLine="0" w:left="1600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Balloon Text"/>
    <w:basedOn w:val="Style_4"/>
    <w:link w:val="Style_27_ch"/>
    <w:pPr>
      <w:spacing w:after="0" w:line="240" w:lineRule="auto"/>
      <w:ind/>
    </w:pPr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8" w:type="paragraph">
    <w:name w:val="Subtitle"/>
    <w:next w:val="Style_4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basedOn w:val="Style_4"/>
    <w:link w:val="Style_29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9_ch" w:type="character">
    <w:name w:val="Title"/>
    <w:basedOn w:val="Style_4_ch"/>
    <w:link w:val="Style_29"/>
    <w:rPr>
      <w:rFonts w:ascii="Times New Roman" w:hAnsi="Times New Roman"/>
      <w:sz w:val="36"/>
    </w:rPr>
  </w:style>
  <w:style w:styleId="Style_30" w:type="paragraph">
    <w:name w:val="heading 4"/>
    <w:next w:val="Style_4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4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Postan"/>
    <w:basedOn w:val="Style_4"/>
    <w:link w:val="Style_3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2_ch" w:type="character">
    <w:name w:val="Postan"/>
    <w:basedOn w:val="Style_4_ch"/>
    <w:link w:val="Style_32"/>
    <w:rPr>
      <w:rFonts w:ascii="Times New Roman" w:hAnsi="Times New Roman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2024-03-18T08:49:22Z</dcterms:modified>
</cp:coreProperties>
</file>