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исполнении плана реализации муниципальной программы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поселения «Оформление права собственности на муниципальное имущество и бесхозяйные объекты муниципального образования «Троицкое сельское поселение» за 9 месяцев 2024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       04 октября 2024 года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Администрация Троицкого сельского поселения является ответственным исполнителем муниципальной программы Троицкого сельского поселения «Оформление права собственности на муниципальное имущество и бесхозяйные объекты муниципального образования «Троицкое сельское поселение» 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Муниципальная программа «Оформление права собственности на муниципальное имущество и бесхозяйные объекты муниципального образования «Троицкое сельское поселение» утверждена постановлением Администрации Троицкого сельского поселения от 26.10.2018г. № 192.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 реализацию муниципальной программы в 2024 году предусмотрено 71,0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 Фактическое освоение средств муниципальной программы по итогам 9 месяцев 2024 года составило 55,0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включает в себя следующие подпрограммы:</w:t>
      </w:r>
    </w:p>
    <w:p w14:paraId="0D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1. «Повышение эффективности управления муниципальным имуществом и приватизации» .</w:t>
      </w:r>
    </w:p>
    <w:p w14:paraId="0E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продолжается инвентаризация адресов объектов адресации и работа по актуализации кадастровых номеров объектов недвижимости с целью размещения кадастровых номеров объектов недвижимости в Государственном адресном реестре (ФИАС). </w:t>
      </w:r>
    </w:p>
    <w:p w14:paraId="0F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постановки на кадастровый учет земельных участков выдано 4 выписки из похозяйственной книги.</w:t>
      </w:r>
    </w:p>
    <w:p w14:paraId="10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работа по приведению регламентов муниципальных услуг согласно плана-графика в соответствие с Федеральным законом от 27.07.2010 № 210-ФЗ.</w:t>
      </w:r>
    </w:p>
    <w:p w14:paraId="11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сфере архитектуры и градостроительства проведена следующая работа:</w:t>
      </w:r>
    </w:p>
    <w:p w14:paraId="12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-выдано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уведомлени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 соответствии планируемого строительства или реконструкции жилого дома; </w:t>
      </w:r>
    </w:p>
    <w:p w14:paraId="1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-выдано 3 уведомления о соответствии построенного объекта индивидуального жилищного строительства;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-получено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уведомления о сносе объектов капитального строительства;</w:t>
      </w:r>
    </w:p>
    <w:p w14:paraId="15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-выдан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градостроительны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план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земельный участок по заявлению гражданина.</w:t>
      </w:r>
    </w:p>
    <w:p w14:paraId="16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-выдано 2 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14:paraId="17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Работа по градостроительной деятельности с марта 2023 года (размещение сведений, документов, материалов) осуществляется посредствам ГИСОГД РО (государственная информационная система обеспечения градостроительной деятельности). Использование ГИСОГД РО дает возможность подать заявление на </w:t>
      </w:r>
      <w:r>
        <w:rPr>
          <w:rFonts w:ascii="Times New Roman" w:hAnsi="Times New Roman"/>
          <w:sz w:val="28"/>
        </w:rPr>
        <w:t>предоставление муниципальных услуг как при личном приеме, так и через МФЦ, через личный кабинет Единого портала государственных услуг.</w:t>
      </w:r>
    </w:p>
    <w:p w14:paraId="18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от сдачи в аренду муниципального имущества в доход бюджета администрации Троицкого сельского поселения за 2024 год поступило 191,9 тыс.</w:t>
      </w:r>
      <w:r>
        <w:rPr>
          <w:rFonts w:ascii="Times New Roman" w:hAnsi="Times New Roman"/>
          <w:sz w:val="28"/>
        </w:rPr>
        <w:t>руб.</w:t>
      </w:r>
    </w:p>
    <w:p w14:paraId="19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Продолжается работа по выявлению бесхозяйного и выморочного имущества (9 объектов). Приняты нормативно-правовые акты по выявлению бесхозяйных вещей, выморочного имущества и принятию их в муниципальную собственность.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в Росреестре </w:t>
      </w:r>
      <w:r>
        <w:rPr>
          <w:rFonts w:ascii="Times New Roman" w:hAnsi="Times New Roman"/>
          <w:sz w:val="28"/>
        </w:rPr>
        <w:t xml:space="preserve">на кадастровый учет поставлено и зарегистрировано в качестве бесхозяйного имущества 5 объектов недвижимости: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квартира (с. Троицкое, ул. Ленина 115, кв. 6);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подвал </w:t>
      </w:r>
      <w:bookmarkStart w:id="1" w:name="_Hlk178775222"/>
      <w:r>
        <w:rPr>
          <w:rFonts w:ascii="Times New Roman" w:hAnsi="Times New Roman"/>
          <w:sz w:val="28"/>
        </w:rPr>
        <w:t xml:space="preserve">для хранения овощей </w:t>
      </w:r>
      <w:bookmarkEnd w:id="1"/>
      <w:r>
        <w:rPr>
          <w:rFonts w:ascii="Times New Roman" w:hAnsi="Times New Roman"/>
          <w:sz w:val="28"/>
        </w:rPr>
        <w:t>(пос. Луначарский, ул. Садовая, 16в);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подвал для хранения овощей (пос. Луначарский, ул. Садовая, 16б);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подвал для хранения овощей (пос. Луначарский, ул. Садовая, 16а);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здание складских помещений (с. Троицкое, пер. Парковый, 5б).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сентябре 2024 года отмежёван, поставлен на кадастровый учет и оформлен в муниципальную собственность земельный участок площадью 2157,00 кв. м</w:t>
      </w:r>
      <w:r>
        <w:rPr>
          <w:rFonts w:ascii="Times New Roman" w:hAnsi="Times New Roman"/>
          <w:sz w:val="28"/>
        </w:rPr>
        <w:t>, расположенный по адресу: Ростовская область, Неклиновский район, с. Троицкое, ул. Комсомольская, 57а.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Также проведена работа в рамках реализации Плана приватизации муниципального имущества Троицкого сельского поселения во исполнение Решения Собрания депутатов Троицкого сельского поселения от 11.01.2024 № 122.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основании Постановления Администрации Троицкого сельского поселения от 23.08.2024 № 92 «О проведении торгов в форме электронного аукциона по продаже муниципального имущества» назначен аукцион по продаже муниципального имущества – сарай, площадью 37,7 кв. м; земельный участок, площадью 1503,0 кв. м, расположенный по адресу: Ростовская область, Неклиновский район, пос. Луначарский, ул. Садовая, 45.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Продолжается работа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».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8"/>
        </w:rPr>
        <w:t>Подпрограмма 2 «Создание условий для реализации муниципальной программы»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Проведены работы по принятию новых регламентов и внесению изменений в существующие регламенты с целью приведения их в соответствие с нормативно-правовыми актами. 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2024 года на постоянной основе.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28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М.В.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Токарева</w:t>
      </w:r>
    </w:p>
    <w:p w14:paraId="2C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2F000000">
      <w:pPr>
        <w:sectPr>
          <w:pgSz w:h="16838" w:orient="portrait" w:w="11906"/>
          <w:pgMar w:bottom="567" w:footer="709" w:gutter="0" w:header="709" w:left="1134" w:right="851" w:top="567"/>
        </w:sectPr>
      </w:pPr>
    </w:p>
    <w:p w14:paraId="30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31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</w:p>
    <w:p w14:paraId="32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2" w:name="Par1326"/>
      <w:bookmarkEnd w:id="2"/>
      <w:r>
        <w:rPr>
          <w:rFonts w:ascii="Times New Roman" w:hAnsi="Times New Roman"/>
          <w:sz w:val="24"/>
        </w:rPr>
        <w:t>ОТЧЕТ</w:t>
      </w:r>
    </w:p>
    <w:p w14:paraId="3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«Оформление права собственности на муниципальное имущество и бесхозяйные объекты муниципального образования «Троицкое сельское поселение</w:t>
      </w:r>
      <w:r>
        <w:rPr>
          <w:rFonts w:ascii="Times New Roman" w:hAnsi="Times New Roman"/>
          <w:sz w:val="24"/>
        </w:rPr>
        <w:t xml:space="preserve">»    </w:t>
      </w:r>
    </w:p>
    <w:p w14:paraId="3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9 месяцев  2024 г.</w:t>
      </w:r>
    </w:p>
    <w:p w14:paraId="35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42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5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46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«Повышение эффективности управления муниципальным имуществом и приватизации»</w:t>
            </w:r>
          </w:p>
          <w:p w14:paraId="54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55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Троицкого сельского поселения            (ведущий специалист </w:t>
            </w:r>
          </w:p>
          <w:p w14:paraId="5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Токарева М.В.)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1.1. </w:t>
            </w:r>
            <w:r>
              <w:rPr>
                <w:rFonts w:ascii="Times New Roman" w:hAnsi="Times New Roman"/>
              </w:rPr>
              <w:t>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Токарева М.В.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10,0- экономия по закупкам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1.2. Подготовка документов, содержащих необходимые сведения для осуществления государственного кадастрового учета </w:t>
            </w:r>
            <w:r>
              <w:rPr>
                <w:rFonts w:ascii="Times New Roman" w:hAnsi="Times New Roman"/>
                <w:sz w:val="24"/>
              </w:rPr>
              <w:t>земельных объектов</w:t>
            </w:r>
          </w:p>
          <w:p w14:paraId="6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  <w:p w14:paraId="7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Токарева М.В.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 1 контракт на выполнение кадастровых работ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1.3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рыночной стоимости объектов недвижимого и движимого имущества</w:t>
            </w:r>
          </w:p>
          <w:p w14:paraId="7D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главный  специалист </w:t>
            </w:r>
            <w:r>
              <w:rPr>
                <w:rFonts w:ascii="Times New Roman" w:hAnsi="Times New Roman"/>
                <w:sz w:val="24"/>
              </w:rPr>
              <w:t>Токарева М.В.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8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8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6,0 - срок мероприятий  не наступил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«Создание условий для реализации муниципальной программы»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Токарева М.В.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2.1.</w:t>
            </w:r>
          </w:p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программного комплекса по управлению имуществом и земельными ресурсами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Токарева М.В.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проектов решений по вопросам управления и распоряжения муниципальным имущством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 w14:paraId="B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  <w:p w14:paraId="B7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Токарева М.В.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C7000000">
      <w:pPr>
        <w:widowControl w:val="0"/>
        <w:ind w:firstLine="284" w:left="0" w:right="-284"/>
        <w:jc w:val="both"/>
        <w:rPr>
          <w:sz w:val="24"/>
        </w:rPr>
      </w:pPr>
      <w:bookmarkStart w:id="3" w:name="Par1413"/>
      <w:bookmarkEnd w:id="3"/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4"/>
    <w:link w:val="Style_7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7_ch" w:type="character">
    <w:name w:val="Body Text Indent"/>
    <w:basedOn w:val="Style_4_ch"/>
    <w:link w:val="Style_7"/>
    <w:rPr>
      <w:rFonts w:ascii="Times New Roman" w:hAnsi="Times New Roman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 Spacing"/>
    <w:link w:val="Style_13_ch"/>
    <w:rPr>
      <w:sz w:val="22"/>
    </w:rPr>
  </w:style>
  <w:style w:styleId="Style_13_ch" w:type="character">
    <w:name w:val="No Spacing"/>
    <w:link w:val="Style_13"/>
    <w:rPr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Postan"/>
    <w:basedOn w:val="Style_4"/>
    <w:link w:val="Style_27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7_ch" w:type="character">
    <w:name w:val="Postan"/>
    <w:basedOn w:val="Style_4_ch"/>
    <w:link w:val="Style_27"/>
    <w:rPr>
      <w:rFonts w:ascii="Times New Roman" w:hAnsi="Times New Roman"/>
      <w:sz w:val="28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rPr>
      <w:sz w:val="22"/>
    </w:rPr>
  </w:style>
  <w:style w:styleId="Style_30_ch" w:type="character">
    <w:name w:val="Обычный1"/>
    <w:link w:val="Style_30"/>
    <w:rPr>
      <w:sz w:val="22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4"/>
    <w:link w:val="Style_32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2_ch" w:type="character">
    <w:name w:val="Title"/>
    <w:basedOn w:val="Style_4_ch"/>
    <w:link w:val="Style_32"/>
    <w:rPr>
      <w:rFonts w:ascii="Times New Roman" w:hAnsi="Times New Roman"/>
      <w:sz w:val="36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2024-10-04T06:37:47Z</dcterms:modified>
</cp:coreProperties>
</file>