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</w:p>
    <w:p w14:paraId="05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A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C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E000000">
      <w:pPr>
        <w:pStyle w:val="Style_2"/>
        <w:rPr>
          <w:rFonts w:ascii="Times New Roman" w:hAnsi="Times New Roman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Hlk127172673"/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22.02.2024г </w:t>
      </w:r>
      <w:r>
        <w:rPr>
          <w:rFonts w:ascii="Times New Roman" w:hAnsi="Times New Roman"/>
          <w:sz w:val="28"/>
        </w:rPr>
        <w:t xml:space="preserve"> № 23</w:t>
      </w:r>
      <w:bookmarkEnd w:id="1"/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с.Троицкое                                                </w:t>
      </w:r>
    </w:p>
    <w:p w14:paraId="12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отчета о реализации</w:t>
      </w:r>
    </w:p>
    <w:p w14:paraId="14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>«</w:t>
      </w:r>
      <w:bookmarkStart w:id="2" w:name="_Hlk31283465"/>
      <w:r>
        <w:rPr>
          <w:rFonts w:ascii="Times New Roman" w:hAnsi="Times New Roman"/>
          <w:b w:val="1"/>
          <w:sz w:val="28"/>
        </w:rPr>
        <w:t>Обеспечение качественными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коммунальными услугами населения и повышение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уровня благоустройства территории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bookmarkEnd w:id="2"/>
      <w:r>
        <w:rPr>
          <w:rFonts w:ascii="Times New Roman" w:hAnsi="Times New Roman"/>
          <w:b w:val="1"/>
          <w:sz w:val="28"/>
        </w:rPr>
        <w:t>»  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9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A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</w:t>
      </w:r>
      <w:r>
        <w:rPr>
          <w:rFonts w:ascii="Times New Roman" w:hAnsi="Times New Roman"/>
          <w:sz w:val="28"/>
        </w:rPr>
        <w:t>о поселения от 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>
        <w:rPr>
          <w:rFonts w:ascii="Times New Roman" w:hAnsi="Times New Roman"/>
          <w:sz w:val="28"/>
        </w:rPr>
        <w:t>ицкого сельского поселения от 16.03.18 № 37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B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</w:t>
      </w:r>
      <w:r>
        <w:rPr>
          <w:rFonts w:ascii="Times New Roman" w:hAnsi="Times New Roman"/>
          <w:sz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» 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>,  согласно приложению.</w:t>
      </w:r>
    </w:p>
    <w:p w14:paraId="1D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опубликования.</w:t>
      </w:r>
    </w:p>
    <w:p w14:paraId="1E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О.Н.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Гурина</w:t>
      </w:r>
    </w:p>
    <w:p w14:paraId="2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22.02.2024г</w:t>
      </w:r>
      <w:r>
        <w:rPr>
          <w:rFonts w:ascii="Times New Roman" w:hAnsi="Times New Roman"/>
          <w:sz w:val="28"/>
        </w:rPr>
        <w:t xml:space="preserve"> № 23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F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>еления «</w:t>
      </w:r>
      <w:r>
        <w:rPr>
          <w:rFonts w:ascii="Times New Roman" w:hAnsi="Times New Roman"/>
          <w:sz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</w:t>
      </w:r>
      <w:r>
        <w:rPr>
          <w:rFonts w:ascii="Times New Roman" w:hAnsi="Times New Roman"/>
          <w:sz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>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финансирования Программы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</w:t>
      </w:r>
      <w:r>
        <w:rPr>
          <w:rFonts w:ascii="Times New Roman" w:hAnsi="Times New Roman"/>
          <w:sz w:val="28"/>
        </w:rPr>
        <w:t xml:space="preserve">ия составляет </w:t>
      </w:r>
      <w:r>
        <w:rPr>
          <w:rFonts w:ascii="Times New Roman" w:hAnsi="Times New Roman"/>
          <w:sz w:val="28"/>
        </w:rPr>
        <w:t>7323,3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.рублей.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обеспечена положительная динамика основных показателей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Неклиновского района относительно уровня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в рамк</w:t>
      </w:r>
      <w:r>
        <w:rPr>
          <w:rFonts w:ascii="Times New Roman" w:hAnsi="Times New Roman"/>
          <w:sz w:val="28"/>
        </w:rPr>
        <w:t>ах му</w:t>
      </w:r>
      <w:r>
        <w:rPr>
          <w:rFonts w:ascii="Times New Roman" w:hAnsi="Times New Roman"/>
          <w:sz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подпрограммы «</w:t>
      </w:r>
      <w:r>
        <w:rPr>
          <w:rFonts w:ascii="Times New Roman" w:hAnsi="Times New Roman"/>
          <w:sz w:val="28"/>
        </w:rPr>
        <w:t>Развитие  благоустройства территории Троицкого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производились следующие мероприятия: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>
        <w:rPr>
          <w:rFonts w:ascii="Times New Roman" w:hAnsi="Times New Roman"/>
          <w:sz w:val="28"/>
        </w:rPr>
        <w:t>;</w:t>
      </w:r>
    </w:p>
    <w:p w14:paraId="37000000">
      <w:pPr>
        <w:spacing w:after="0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действующих светильников к общему количе</w:t>
      </w:r>
      <w:r>
        <w:rPr>
          <w:rFonts w:ascii="Times New Roman" w:hAnsi="Times New Roman"/>
          <w:sz w:val="28"/>
        </w:rPr>
        <w:t>ству светильнико</w:t>
      </w:r>
      <w:r>
        <w:rPr>
          <w:rFonts w:ascii="Times New Roman" w:hAnsi="Times New Roman"/>
          <w:sz w:val="28"/>
        </w:rPr>
        <w:t>в составляет 100</w:t>
      </w:r>
      <w:r>
        <w:rPr>
          <w:rFonts w:ascii="Times New Roman" w:hAnsi="Times New Roman"/>
          <w:sz w:val="28"/>
        </w:rPr>
        <w:t>%</w:t>
      </w:r>
    </w:p>
    <w:p w14:paraId="38000000">
      <w:pPr>
        <w:spacing w:after="0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лучшен уровень содержания мест захоронения сельского поселения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программы включены две подпрограммы:</w:t>
      </w:r>
    </w:p>
    <w:p w14:paraId="3D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3E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3" w:name="_Hlk17376315"/>
      <w:r>
        <w:rPr>
          <w:rFonts w:ascii="Times New Roman" w:hAnsi="Times New Roman"/>
          <w:sz w:val="28"/>
        </w:rPr>
        <w:t>Развитие благоустройства территории Троицкого сельского поселения</w:t>
      </w:r>
      <w:bookmarkEnd w:id="3"/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Подпрограммы 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Создание условий для 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</w:rPr>
        <w:t>» предусмотрено 1 основное мероприятие :</w:t>
      </w:r>
    </w:p>
    <w:p w14:paraId="4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 данным мероприятиям заключен  контракт на сумму 75,0</w:t>
      </w:r>
      <w:r>
        <w:rPr>
          <w:rFonts w:ascii="Times New Roman" w:hAnsi="Times New Roman"/>
          <w:sz w:val="28"/>
        </w:rPr>
        <w:t xml:space="preserve">тыс.рублей </w:t>
      </w:r>
      <w:r>
        <w:rPr>
          <w:rFonts w:ascii="Times New Roman" w:hAnsi="Times New Roman"/>
          <w:sz w:val="28"/>
        </w:rPr>
        <w:t>на  техническое обслуживание газового оборудования пос.Луначарский</w:t>
      </w:r>
      <w:r>
        <w:rPr>
          <w:rFonts w:ascii="Times New Roman" w:hAnsi="Times New Roman"/>
          <w:sz w:val="28"/>
        </w:rPr>
        <w:t>. Работы выполнены в полном объеме;</w:t>
      </w:r>
    </w:p>
    <w:p w14:paraId="41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-324,6 тыс.рублей окраска газопровода пос.Луначаркский;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-3,9 тыс.рублей обязательное страхование гражданской ответственности опасного объекта «Газопровод с.Триоцкое»;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-7,5 тыс.рублей составление сметной  документации на окраску </w:t>
      </w:r>
      <w:r>
        <w:rPr>
          <w:rFonts w:ascii="Times New Roman" w:hAnsi="Times New Roman"/>
          <w:sz w:val="28"/>
        </w:rPr>
        <w:t>газопровода пос.Луначаркский.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рамках реализации </w:t>
      </w:r>
      <w:r>
        <w:rPr>
          <w:rFonts w:ascii="Times New Roman" w:hAnsi="Times New Roman"/>
          <w:b w:val="1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достигнуты следующие мероприятия:</w:t>
      </w:r>
    </w:p>
    <w:p w14:paraId="46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Мероприятия по организации освещения улиц Троицкого сельского поселения.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оплата за потребленную эл.энергию уличного освещения составило </w:t>
      </w:r>
      <w:r>
        <w:rPr>
          <w:rFonts w:ascii="Times New Roman" w:hAnsi="Times New Roman"/>
          <w:sz w:val="28"/>
        </w:rPr>
        <w:t>751,0</w:t>
      </w:r>
      <w:r>
        <w:rPr>
          <w:rFonts w:ascii="Times New Roman" w:hAnsi="Times New Roman"/>
          <w:sz w:val="28"/>
        </w:rPr>
        <w:t xml:space="preserve"> тыс.рублей;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произведено ТО светильников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количестве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117</w:t>
      </w:r>
      <w:r>
        <w:rPr>
          <w:rFonts w:ascii="Times New Roman" w:hAnsi="Times New Roman"/>
          <w:sz w:val="28"/>
        </w:rPr>
        <w:t xml:space="preserve">  шт;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установка светильников по ул.Монтажная от ул.Ленина до ул. им. В.И.Кидлова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 15</w:t>
      </w:r>
      <w:r>
        <w:rPr>
          <w:rFonts w:ascii="Times New Roman" w:hAnsi="Times New Roman"/>
          <w:color w:val="000000"/>
          <w:sz w:val="28"/>
        </w:rPr>
        <w:t xml:space="preserve"> светильников</w:t>
      </w:r>
      <w:r>
        <w:rPr>
          <w:rFonts w:ascii="Times New Roman" w:hAnsi="Times New Roman"/>
          <w:sz w:val="28"/>
        </w:rPr>
        <w:t>.</w:t>
      </w:r>
    </w:p>
    <w:p w14:paraId="4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Выполнение прочих мероприятий по благоустройству территории поселения.</w:t>
      </w:r>
    </w:p>
    <w:p w14:paraId="4C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уборка территории Троицкого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147,8</w:t>
      </w:r>
      <w:r>
        <w:rPr>
          <w:rFonts w:ascii="Times New Roman" w:hAnsi="Times New Roman"/>
          <w:color w:val="000000"/>
          <w:sz w:val="28"/>
        </w:rPr>
        <w:t>тыс.руб.;</w:t>
      </w:r>
    </w:p>
    <w:p w14:paraId="4D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Вывоз ТКО с ул.Ленина 59б – 29,6 тыс. руб.</w:t>
      </w:r>
    </w:p>
    <w:p w14:paraId="4E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Покос травы на территории с.Троицкого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бензотримером, трактором  436</w:t>
      </w:r>
      <w:r>
        <w:rPr>
          <w:rFonts w:ascii="Times New Roman" w:hAnsi="Times New Roman"/>
          <w:color w:val="000000"/>
          <w:sz w:val="28"/>
        </w:rPr>
        <w:t xml:space="preserve"> тыс.руб.</w:t>
      </w:r>
    </w:p>
    <w:p w14:paraId="4F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Спил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деревьев</w:t>
      </w:r>
      <w:r>
        <w:rPr>
          <w:rFonts w:ascii="Times New Roman" w:hAnsi="Times New Roman"/>
          <w:sz w:val="28"/>
        </w:rPr>
        <w:t xml:space="preserve">-угроз </w:t>
      </w:r>
      <w:r>
        <w:rPr>
          <w:rFonts w:ascii="Times New Roman" w:hAnsi="Times New Roman"/>
          <w:sz w:val="28"/>
        </w:rPr>
        <w:t>расположен</w:t>
      </w:r>
      <w:r>
        <w:rPr>
          <w:rFonts w:ascii="Times New Roman" w:hAnsi="Times New Roman"/>
          <w:sz w:val="28"/>
        </w:rPr>
        <w:t>ном по адресу</w:t>
      </w:r>
      <w:r>
        <w:rPr>
          <w:rFonts w:ascii="Times New Roman" w:hAnsi="Times New Roman"/>
          <w:sz w:val="28"/>
        </w:rPr>
        <w:t xml:space="preserve">: Ростовская область, Неклиновский район, </w:t>
      </w:r>
      <w:r>
        <w:rPr>
          <w:rFonts w:ascii="Times New Roman" w:hAnsi="Times New Roman"/>
          <w:sz w:val="28"/>
        </w:rPr>
        <w:t>п.Федосеевка</w:t>
      </w:r>
      <w:r>
        <w:rPr>
          <w:rFonts w:ascii="Times New Roman" w:hAnsi="Times New Roman"/>
          <w:color w:val="000000"/>
          <w:sz w:val="28"/>
        </w:rPr>
        <w:t>-65,5м3 – 150 тыс. руб.</w:t>
      </w:r>
    </w:p>
    <w:p w14:paraId="50000000">
      <w:pPr>
        <w:numPr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Привязка спиленных д</w:t>
      </w:r>
      <w:r>
        <w:rPr>
          <w:rFonts w:ascii="Times New Roman" w:hAnsi="Times New Roman"/>
          <w:sz w:val="28"/>
        </w:rPr>
        <w:t>еревьев к домам:</w:t>
      </w:r>
    </w:p>
    <w:p w14:paraId="51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.Федосеевка ул.Миусская дом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2ш</w:t>
      </w:r>
      <w:r>
        <w:rPr>
          <w:rFonts w:ascii="Times New Roman" w:hAnsi="Times New Roman"/>
          <w:sz w:val="28"/>
        </w:rPr>
        <w:t>т (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кация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52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.Федосеевка ул.Миусская дом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1ш</w:t>
      </w:r>
      <w:r>
        <w:rPr>
          <w:rFonts w:ascii="Times New Roman" w:hAnsi="Times New Roman"/>
          <w:sz w:val="28"/>
        </w:rPr>
        <w:t>т (</w:t>
      </w:r>
      <w:r>
        <w:rPr>
          <w:rFonts w:ascii="Times New Roman" w:hAnsi="Times New Roman"/>
          <w:sz w:val="28"/>
        </w:rPr>
        <w:t>акация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53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.Федосеевка ул.Миусская дом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2ш</w:t>
      </w:r>
      <w:r>
        <w:rPr>
          <w:rFonts w:ascii="Times New Roman" w:hAnsi="Times New Roman"/>
          <w:sz w:val="28"/>
        </w:rPr>
        <w:t>т (</w:t>
      </w:r>
      <w:r>
        <w:rPr>
          <w:rFonts w:ascii="Times New Roman" w:hAnsi="Times New Roman"/>
          <w:sz w:val="28"/>
        </w:rPr>
        <w:t>акац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4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Межпоселковая дорога с.Троицко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п.</w:t>
      </w:r>
      <w:r>
        <w:rPr>
          <w:rFonts w:ascii="Times New Roman" w:hAnsi="Times New Roman"/>
          <w:sz w:val="28"/>
        </w:rPr>
        <w:t xml:space="preserve">Луначарский обочина 650м от с.Троицкого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5ш</w:t>
      </w:r>
      <w:r>
        <w:rPr>
          <w:rFonts w:ascii="Times New Roman" w:hAnsi="Times New Roman"/>
          <w:sz w:val="28"/>
        </w:rPr>
        <w:t>т (</w:t>
      </w:r>
      <w:r>
        <w:rPr>
          <w:rFonts w:ascii="Times New Roman" w:hAnsi="Times New Roman"/>
          <w:sz w:val="28"/>
        </w:rPr>
        <w:t>тополь</w:t>
      </w:r>
      <w:r>
        <w:rPr>
          <w:rFonts w:ascii="Times New Roman" w:hAnsi="Times New Roman"/>
          <w:sz w:val="28"/>
        </w:rPr>
        <w:t>)</w:t>
      </w:r>
    </w:p>
    <w:p w14:paraId="55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Спил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деревьев-угроз </w:t>
      </w:r>
      <w:r>
        <w:rPr>
          <w:rFonts w:ascii="Times New Roman" w:hAnsi="Times New Roman"/>
          <w:sz w:val="28"/>
        </w:rPr>
        <w:t>расположен</w:t>
      </w:r>
      <w:r>
        <w:rPr>
          <w:rFonts w:ascii="Times New Roman" w:hAnsi="Times New Roman"/>
          <w:sz w:val="28"/>
        </w:rPr>
        <w:t>ном по адресу</w:t>
      </w:r>
      <w:r>
        <w:rPr>
          <w:rFonts w:ascii="Times New Roman" w:hAnsi="Times New Roman"/>
          <w:sz w:val="28"/>
        </w:rPr>
        <w:t>: Ростовская область, Неклиновский район,</w:t>
      </w:r>
      <w:r>
        <w:rPr>
          <w:rFonts w:ascii="Times New Roman" w:hAnsi="Times New Roman"/>
          <w:b w:val="0"/>
          <w:sz w:val="28"/>
        </w:rPr>
        <w:t>с.Троицкое, ул.Ленина 59б</w:t>
      </w:r>
      <w:r>
        <w:rPr>
          <w:rFonts w:ascii="Times New Roman" w:hAnsi="Times New Roman"/>
          <w:b w:val="0"/>
          <w:sz w:val="28"/>
        </w:rPr>
        <w:t xml:space="preserve"> – 18шт – 240 тыс. руб.</w:t>
      </w:r>
    </w:p>
    <w:p w14:paraId="56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Обрезка крон деревьев </w:t>
      </w:r>
      <w:r>
        <w:rPr>
          <w:rFonts w:ascii="Times New Roman" w:hAnsi="Times New Roman"/>
          <w:b w:val="0"/>
          <w:sz w:val="28"/>
        </w:rPr>
        <w:t xml:space="preserve">на территории Троицкого </w:t>
      </w:r>
      <w:r>
        <w:rPr>
          <w:rFonts w:ascii="Times New Roman" w:hAnsi="Times New Roman"/>
          <w:b w:val="0"/>
          <w:sz w:val="28"/>
        </w:rPr>
        <w:t>сельско</w:t>
      </w:r>
      <w:r>
        <w:rPr>
          <w:rFonts w:ascii="Times New Roman" w:hAnsi="Times New Roman"/>
          <w:b w:val="0"/>
          <w:sz w:val="28"/>
        </w:rPr>
        <w:t>го посе</w:t>
      </w:r>
      <w:r>
        <w:rPr>
          <w:rFonts w:ascii="Times New Roman" w:hAnsi="Times New Roman"/>
          <w:b w:val="0"/>
          <w:sz w:val="28"/>
        </w:rPr>
        <w:t>ления – 36 шт – 50 тыс. ру</w:t>
      </w:r>
      <w:r>
        <w:rPr>
          <w:rFonts w:ascii="Times New Roman" w:hAnsi="Times New Roman"/>
          <w:b w:val="0"/>
          <w:color w:val="000000"/>
          <w:sz w:val="28"/>
        </w:rPr>
        <w:t>б.</w:t>
      </w:r>
    </w:p>
    <w:p w14:paraId="57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Стрижка живой изгороди и поко</w:t>
      </w:r>
      <w:r>
        <w:rPr>
          <w:rFonts w:ascii="Times New Roman" w:hAnsi="Times New Roman"/>
          <w:b w:val="0"/>
          <w:color w:val="000000"/>
          <w:sz w:val="28"/>
        </w:rPr>
        <w:t xml:space="preserve">с травы газонокосилкой 2 раза </w:t>
      </w:r>
      <w:r>
        <w:rPr>
          <w:rFonts w:ascii="Times New Roman" w:hAnsi="Times New Roman"/>
          <w:b w:val="0"/>
          <w:color w:val="000000"/>
          <w:sz w:val="28"/>
        </w:rPr>
        <w:t>по адресу: с.Троицкое ул.Ленина 59</w:t>
      </w:r>
      <w:r>
        <w:rPr>
          <w:rFonts w:ascii="Times New Roman" w:hAnsi="Times New Roman"/>
          <w:b w:val="0"/>
          <w:color w:val="000000"/>
          <w:sz w:val="28"/>
        </w:rPr>
        <w:t>б – 89,5 тыс. руб.</w:t>
      </w:r>
    </w:p>
    <w:p w14:paraId="58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Составление сметной документации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Расчистку территории от кустарника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мелколесья</w:t>
      </w:r>
      <w:r>
        <w:rPr>
          <w:rFonts w:ascii="Times New Roman" w:hAnsi="Times New Roman"/>
          <w:b w:val="0"/>
          <w:sz w:val="28"/>
        </w:rPr>
        <w:t xml:space="preserve"> и корчевке пней</w:t>
      </w:r>
      <w:r>
        <w:rPr>
          <w:rFonts w:ascii="Times New Roman" w:hAnsi="Times New Roman"/>
          <w:b w:val="0"/>
          <w:sz w:val="28"/>
        </w:rPr>
        <w:t xml:space="preserve"> по адресу: с.Троицкое, </w:t>
      </w:r>
      <w:r>
        <w:rPr>
          <w:rFonts w:ascii="Times New Roman" w:hAnsi="Times New Roman"/>
          <w:b w:val="0"/>
          <w:sz w:val="28"/>
        </w:rPr>
        <w:t>ул.Монтажная</w:t>
      </w:r>
      <w:r>
        <w:rPr>
          <w:rFonts w:ascii="Times New Roman" w:hAnsi="Times New Roman"/>
          <w:b w:val="0"/>
          <w:sz w:val="28"/>
        </w:rPr>
        <w:t xml:space="preserve"> 29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themeColor="text1" w:val="000000"/>
          <w:sz w:val="28"/>
        </w:rPr>
        <w:t>,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>Устройство 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туара от по ул. Ленина от ул. Мельничная до пер.Межевого в с. Троицкое Неклиновского р</w:t>
      </w:r>
      <w:r>
        <w:rPr>
          <w:rFonts w:ascii="Times New Roman" w:hAnsi="Times New Roman"/>
          <w:sz w:val="28"/>
        </w:rPr>
        <w:t>айона, Ростов</w:t>
      </w:r>
      <w:r>
        <w:rPr>
          <w:rFonts w:ascii="Times New Roman" w:hAnsi="Times New Roman"/>
          <w:sz w:val="28"/>
        </w:rPr>
        <w:t>ской области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» – 17,1 </w:t>
      </w:r>
      <w:r>
        <w:rPr>
          <w:rFonts w:ascii="Times New Roman" w:hAnsi="Times New Roman"/>
          <w:b w:val="0"/>
          <w:color w:val="000000"/>
          <w:sz w:val="28"/>
        </w:rPr>
        <w:t>тыс. руб.</w:t>
      </w:r>
    </w:p>
    <w:p w14:paraId="59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Рас</w:t>
      </w:r>
      <w:r>
        <w:rPr>
          <w:rFonts w:ascii="Times New Roman" w:hAnsi="Times New Roman"/>
          <w:b w:val="0"/>
          <w:sz w:val="28"/>
        </w:rPr>
        <w:t>чистка территории от кустарника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мелколесья</w:t>
      </w:r>
      <w:r>
        <w:rPr>
          <w:rFonts w:ascii="Times New Roman" w:hAnsi="Times New Roman"/>
          <w:b w:val="0"/>
          <w:sz w:val="28"/>
        </w:rPr>
        <w:t xml:space="preserve"> и корчевке пней</w:t>
      </w:r>
      <w:r>
        <w:rPr>
          <w:rFonts w:ascii="Times New Roman" w:hAnsi="Times New Roman"/>
          <w:b w:val="0"/>
          <w:sz w:val="28"/>
        </w:rPr>
        <w:t xml:space="preserve"> по адресу: с.Троицкое, </w:t>
      </w:r>
      <w:r>
        <w:rPr>
          <w:rFonts w:ascii="Times New Roman" w:hAnsi="Times New Roman"/>
          <w:b w:val="0"/>
          <w:sz w:val="28"/>
        </w:rPr>
        <w:t>ул.Монтажная</w:t>
      </w:r>
      <w:r>
        <w:rPr>
          <w:rFonts w:ascii="Times New Roman" w:hAnsi="Times New Roman"/>
          <w:b w:val="0"/>
          <w:sz w:val="28"/>
        </w:rPr>
        <w:t xml:space="preserve"> 29</w:t>
      </w:r>
      <w:r>
        <w:rPr>
          <w:rFonts w:ascii="Times New Roman" w:hAnsi="Times New Roman"/>
          <w:color w:val="000000"/>
          <w:sz w:val="28"/>
        </w:rPr>
        <w:t xml:space="preserve"> – 78,7 тыс. руб.</w:t>
      </w:r>
    </w:p>
    <w:p w14:paraId="5A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Устройство асфальтобетонного покрытия для 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туара от ул. Мельничная до ул. Монтажная по ул. Ленина –</w:t>
      </w:r>
      <w:r>
        <w:rPr>
          <w:rFonts w:ascii="Times New Roman" w:hAnsi="Times New Roman"/>
          <w:color w:val="000000"/>
          <w:sz w:val="28"/>
        </w:rPr>
        <w:t xml:space="preserve"> 867,2 тыс. руб.</w:t>
      </w:r>
    </w:p>
    <w:p w14:paraId="5B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Составление сметной документации</w:t>
      </w:r>
      <w:r>
        <w:rPr>
          <w:rFonts w:ascii="Times New Roman" w:hAnsi="Times New Roman"/>
          <w:b w:val="0"/>
          <w:sz w:val="28"/>
        </w:rPr>
        <w:t xml:space="preserve"> на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Установка поребриков вокруг детского игрового оборудования находящегося по адресу: Ростовская обл., Неклиновский р-н., с.Троицкое, ул.Ленина 59б</w:t>
      </w:r>
      <w:r>
        <w:rPr>
          <w:rFonts w:ascii="Times New Roman" w:hAnsi="Times New Roman"/>
          <w:b w:val="0"/>
          <w:sz w:val="28"/>
        </w:rPr>
        <w:t>» – 4,2 тыс. руб.</w:t>
      </w:r>
    </w:p>
    <w:p w14:paraId="5C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Обследование технического состояния </w:t>
      </w:r>
      <w:r>
        <w:rPr>
          <w:rFonts w:ascii="Times New Roman" w:hAnsi="Times New Roman"/>
          <w:sz w:val="28"/>
        </w:rPr>
        <w:t>Детского игрового комплекса КСИЛ – 5,8 тыс. руб.</w:t>
      </w:r>
    </w:p>
    <w:p w14:paraId="5D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Подготовка поверхности площадки (выравнивание грунта) для установки детского игрового оборудования – 143,7 тыс. руб.</w:t>
      </w:r>
    </w:p>
    <w:p w14:paraId="5E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Установка поребриков вокруг детского игрового оборудования находящегося по адресу: Ростовская обл., Неклиновский р-н., с.Троицкое, ул.Ленина 59б – 179,3 тыс. руб.</w:t>
      </w:r>
    </w:p>
    <w:p w14:paraId="5F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Установка </w:t>
      </w:r>
      <w:r>
        <w:rPr>
          <w:rFonts w:ascii="Times New Roman" w:hAnsi="Times New Roman"/>
          <w:sz w:val="28"/>
        </w:rPr>
        <w:t>детского игрового оборудовани</w:t>
      </w:r>
      <w:r>
        <w:rPr>
          <w:rFonts w:ascii="Times New Roman" w:hAnsi="Times New Roman"/>
          <w:color w:val="000000"/>
          <w:sz w:val="28"/>
        </w:rPr>
        <w:t>я «КСИЛ» по адресу ул.Ленина 59б – 934,2 тыс. руб.</w:t>
      </w:r>
    </w:p>
    <w:p w14:paraId="60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Обследование технического состояния спортивного оборудования и детского игрового комплекса</w:t>
      </w:r>
      <w:r>
        <w:rPr>
          <w:rFonts w:ascii="Times New Roman" w:hAnsi="Times New Roman"/>
          <w:sz w:val="28"/>
        </w:rPr>
        <w:t xml:space="preserve"> – 11,6 тыс. руб.</w:t>
      </w:r>
    </w:p>
    <w:p w14:paraId="61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Демонтаж спортивного оборудования расположенного по адресу: Ростовская обл., Неклиновский район, с.Троицкое, ул.Комсамольская 60б и детского игрового оборудования по адресу: </w:t>
      </w:r>
      <w:r>
        <w:rPr>
          <w:rFonts w:ascii="Times New Roman" w:hAnsi="Times New Roman"/>
          <w:b w:val="0"/>
          <w:sz w:val="28"/>
        </w:rPr>
        <w:t>Ростовская обл., Неклиновский район, с.Троицкое,</w:t>
      </w:r>
      <w:r>
        <w:rPr>
          <w:rFonts w:ascii="Times New Roman" w:hAnsi="Times New Roman"/>
          <w:b w:val="0"/>
          <w:sz w:val="28"/>
        </w:rPr>
        <w:t xml:space="preserve"> ул.Ленина120а – 31 тыс. руб.</w:t>
      </w:r>
    </w:p>
    <w:p w14:paraId="62000000">
      <w:pPr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Приобретение цветов </w:t>
      </w:r>
      <w:r>
        <w:rPr>
          <w:rFonts w:ascii="Times New Roman" w:hAnsi="Times New Roman"/>
          <w:color w:val="000000"/>
          <w:sz w:val="28"/>
        </w:rPr>
        <w:t xml:space="preserve">«Тагетис» «Петуния» </w:t>
      </w:r>
      <w:r>
        <w:rPr>
          <w:rFonts w:ascii="Times New Roman" w:hAnsi="Times New Roman"/>
          <w:color w:val="000000"/>
          <w:sz w:val="28"/>
        </w:rPr>
        <w:t>для благоустройства парка в количестве 1300 шт на сумму 20,4 тыс. руб.</w:t>
      </w:r>
    </w:p>
    <w:p w14:paraId="63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Мероприятия по содержанию мест захоронения.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вывоз ТКО с кладбищ с.Троицкое,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Федосеевка </w:t>
      </w:r>
      <w:r>
        <w:rPr>
          <w:rFonts w:ascii="Times New Roman" w:hAnsi="Times New Roman"/>
          <w:sz w:val="28"/>
        </w:rPr>
        <w:t>,с.Кошкино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потрачено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112,3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;</w:t>
      </w:r>
    </w:p>
    <w:p w14:paraId="6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   на </w:t>
      </w:r>
      <w:r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 xml:space="preserve">гражданского </w:t>
      </w:r>
      <w:r>
        <w:rPr>
          <w:rFonts w:ascii="Times New Roman" w:hAnsi="Times New Roman"/>
          <w:sz w:val="28"/>
        </w:rPr>
        <w:t>кладбища</w:t>
      </w:r>
      <w:r>
        <w:rPr>
          <w:rFonts w:ascii="Times New Roman" w:hAnsi="Times New Roman"/>
          <w:sz w:val="28"/>
        </w:rPr>
        <w:t xml:space="preserve"> в 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выделено и освоено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293,0</w:t>
      </w:r>
      <w:r>
        <w:rPr>
          <w:rFonts w:ascii="Times New Roman" w:hAnsi="Times New Roman"/>
          <w:sz w:val="28"/>
        </w:rPr>
        <w:t xml:space="preserve"> тыс. руб;</w:t>
      </w:r>
    </w:p>
    <w:p w14:paraId="67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емонт прилегающей территории к памятнику жертвам фашизма с.Троицкое, ул.Мирная 7в – 74 тыс.руб;</w:t>
      </w:r>
      <w:r>
        <w:rPr>
          <w:rFonts w:ascii="Times New Roman" w:hAnsi="Times New Roman"/>
          <w:sz w:val="28"/>
        </w:rPr>
        <w:t xml:space="preserve"> </w:t>
      </w:r>
    </w:p>
    <w:p w14:paraId="68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риобретение венков  на возложение</w:t>
      </w:r>
      <w:r>
        <w:rPr>
          <w:rFonts w:ascii="Times New Roman" w:hAnsi="Times New Roman"/>
          <w:sz w:val="28"/>
        </w:rPr>
        <w:t xml:space="preserve">  ко Дню Победы- 13,4 тыс.рублей</w:t>
      </w:r>
      <w:r>
        <w:rPr>
          <w:rFonts w:ascii="Times New Roman" w:hAnsi="Times New Roman"/>
          <w:sz w:val="28"/>
        </w:rPr>
        <w:t>;</w:t>
      </w:r>
    </w:p>
    <w:p w14:paraId="69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обеспечивалось патрулирование сотрудниками частной охранной организацией путем объезда Памятников ВОВ на предмет порчи вандалами  и пресечения нарушений общественного правопорядка  - 42,0 тыс. рублей</w:t>
      </w:r>
      <w:r>
        <w:rPr>
          <w:rFonts w:ascii="Times New Roman" w:hAnsi="Times New Roman"/>
          <w:sz w:val="28"/>
        </w:rPr>
        <w:t>;</w:t>
      </w:r>
    </w:p>
    <w:p w14:paraId="6A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нвентаризация</w:t>
      </w:r>
      <w:r>
        <w:rPr>
          <w:rFonts w:ascii="Times New Roman" w:hAnsi="Times New Roman"/>
          <w:sz w:val="28"/>
        </w:rPr>
        <w:t xml:space="preserve"> мест захоронения с. Кошкино ул. Береговая 22г, с.Троицкое, ул.Мирная 7а– 152,1 тыс. руб</w:t>
      </w:r>
      <w:r>
        <w:rPr>
          <w:rFonts w:ascii="Times New Roman" w:hAnsi="Times New Roman"/>
          <w:sz w:val="28"/>
        </w:rPr>
        <w:t>;</w:t>
      </w:r>
    </w:p>
    <w:p w14:paraId="6B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>
        <w:rPr>
          <w:rFonts w:ascii="Times New Roman" w:hAnsi="Times New Roman"/>
          <w:sz w:val="28"/>
        </w:rPr>
        <w:t>пил деревьев-угроз на гражданском кладбище по адресу: с.Троицкое, ул.Мирная 7а. – 240</w:t>
      </w:r>
      <w:r>
        <w:rPr>
          <w:rFonts w:ascii="Times New Roman" w:hAnsi="Times New Roman"/>
          <w:sz w:val="28"/>
        </w:rPr>
        <w:t xml:space="preserve"> тыс.рублей. 20 шт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мероприятия выполнены в ус</w:t>
      </w:r>
      <w:r>
        <w:rPr>
          <w:rFonts w:ascii="Times New Roman" w:hAnsi="Times New Roman"/>
          <w:sz w:val="28"/>
        </w:rPr>
        <w:t>тановленный в срок до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выполнении основных мероприятий, </w:t>
      </w:r>
      <w:r>
        <w:rPr>
          <w:rFonts w:ascii="Times New Roman" w:hAnsi="Times New Roman"/>
          <w:i w:val="1"/>
          <w:sz w:val="26"/>
        </w:rPr>
        <w:t xml:space="preserve">приоритетных основных мероприятий </w:t>
      </w:r>
      <w:r>
        <w:rPr>
          <w:rFonts w:ascii="Times New Roman" w:hAnsi="Times New Roman"/>
          <w:i w:val="1"/>
          <w:sz w:val="26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>
        <w:rPr>
          <w:rFonts w:ascii="Times New Roman" w:hAnsi="Times New Roman"/>
          <w:i w:val="1"/>
          <w:sz w:val="26"/>
        </w:rPr>
        <w:t>приложении № 2</w:t>
      </w:r>
      <w:r>
        <w:rPr>
          <w:rFonts w:ascii="Times New Roman" w:hAnsi="Times New Roman"/>
          <w:i w:val="1"/>
          <w:sz w:val="26"/>
        </w:rPr>
        <w:t xml:space="preserve"> к</w:t>
      </w:r>
      <w:r>
        <w:rPr>
          <w:rFonts w:ascii="Times New Roman" w:hAnsi="Times New Roman"/>
          <w:i w:val="1"/>
          <w:sz w:val="26"/>
        </w:rPr>
        <w:t xml:space="preserve"> отчету о реализации муниципальной программы.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7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</w:t>
      </w:r>
      <w:r>
        <w:rPr>
          <w:rFonts w:ascii="Times New Roman" w:hAnsi="Times New Roman"/>
          <w:sz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7323,3</w:t>
      </w:r>
      <w:r>
        <w:rPr>
          <w:rFonts w:ascii="Times New Roman" w:hAnsi="Times New Roman"/>
          <w:sz w:val="28"/>
        </w:rPr>
        <w:t xml:space="preserve">  тыс.рублей. Фактическое освоение средств муниципальной программы по итогам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6824,2</w:t>
      </w:r>
      <w:r>
        <w:rPr>
          <w:rFonts w:ascii="Times New Roman" w:hAnsi="Times New Roman"/>
          <w:sz w:val="28"/>
        </w:rPr>
        <w:t xml:space="preserve"> тыс.рублей, или 93,2</w:t>
      </w:r>
      <w:r>
        <w:rPr>
          <w:rFonts w:ascii="Times New Roman" w:hAnsi="Times New Roman"/>
          <w:sz w:val="28"/>
        </w:rPr>
        <w:t>%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1. </w:t>
      </w:r>
      <w:r>
        <w:rPr>
          <w:rFonts w:ascii="Times New Roman" w:hAnsi="Times New Roman"/>
          <w:sz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>
        <w:rPr>
          <w:rFonts w:ascii="Times New Roman" w:hAnsi="Times New Roman"/>
          <w:sz w:val="28"/>
        </w:rPr>
        <w:t>409,5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техническое обслуживание газового оборудования пос.Луначарский</w:t>
      </w:r>
      <w:r>
        <w:rPr>
          <w:rFonts w:ascii="Times New Roman" w:hAnsi="Times New Roman"/>
          <w:sz w:val="28"/>
        </w:rPr>
        <w:t xml:space="preserve">. </w:t>
      </w:r>
      <w:bookmarkStart w:id="4" w:name="_Hlk31265018"/>
      <w:r>
        <w:rPr>
          <w:rFonts w:ascii="Times New Roman" w:hAnsi="Times New Roman"/>
          <w:sz w:val="28"/>
        </w:rPr>
        <w:t>Срок контрольного события установлен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выполнено 31.12.20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года</w:t>
      </w:r>
      <w:bookmarkEnd w:id="4"/>
      <w:r>
        <w:rPr>
          <w:rFonts w:ascii="Times New Roman" w:hAnsi="Times New Roman"/>
          <w:sz w:val="28"/>
        </w:rPr>
        <w:t>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2.</w:t>
      </w:r>
      <w:r>
        <w:rPr>
          <w:rFonts w:ascii="Times New Roman" w:hAnsi="Times New Roman"/>
          <w:sz w:val="28"/>
        </w:rPr>
        <w:t xml:space="preserve"> Развитие благоустройства территории Троицкого сельского поселения освоено </w:t>
      </w:r>
      <w:r>
        <w:rPr>
          <w:rFonts w:ascii="Times New Roman" w:hAnsi="Times New Roman"/>
          <w:sz w:val="28"/>
        </w:rPr>
        <w:t>6414,7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Срок контрольного события установлен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выполнено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года; 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5" w:name="_Hlk31265914"/>
      <w:r>
        <w:rPr>
          <w:rFonts w:ascii="Times New Roman" w:hAnsi="Times New Roman"/>
          <w:sz w:val="28"/>
        </w:rPr>
        <w:t xml:space="preserve">Мероприятие 2.1. </w:t>
      </w:r>
      <w:bookmarkEnd w:id="5"/>
      <w:r>
        <w:rPr>
          <w:rFonts w:ascii="Times New Roman" w:hAnsi="Times New Roman"/>
          <w:sz w:val="28"/>
        </w:rPr>
        <w:t xml:space="preserve">Организация освещения улиц Троицкого сельского поселения освоено </w:t>
      </w:r>
      <w:r>
        <w:rPr>
          <w:rFonts w:ascii="Times New Roman" w:hAnsi="Times New Roman"/>
          <w:sz w:val="28"/>
        </w:rPr>
        <w:t>1721,5</w:t>
      </w:r>
      <w:r>
        <w:rPr>
          <w:rFonts w:ascii="Times New Roman" w:hAnsi="Times New Roman"/>
          <w:sz w:val="28"/>
        </w:rPr>
        <w:t xml:space="preserve"> тыс. рублей. Срок контрольного события установлен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выполнено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года; 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2.2. Выполнение прочих мероприятий по благоустройству территории поселения освоено 3638,7</w:t>
      </w:r>
      <w:r>
        <w:rPr>
          <w:rFonts w:ascii="Times New Roman" w:hAnsi="Times New Roman"/>
          <w:sz w:val="28"/>
        </w:rPr>
        <w:t xml:space="preserve"> тыс. рублей. Срок контрольного события установлен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 выполнено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Мероприятие 2.3. Содержание мест захоронения в Троицком сельском поселения освоено </w:t>
      </w:r>
      <w:r>
        <w:rPr>
          <w:rFonts w:ascii="Times New Roman" w:hAnsi="Times New Roman"/>
          <w:sz w:val="28"/>
        </w:rPr>
        <w:t>1054,5</w:t>
      </w:r>
      <w:r>
        <w:rPr>
          <w:rFonts w:ascii="Times New Roman" w:hAnsi="Times New Roman"/>
          <w:sz w:val="28"/>
        </w:rPr>
        <w:t xml:space="preserve"> тыс. рублей. Срок контрольного события установлен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выполнено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i w:val="1"/>
          <w:sz w:val="26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к отчету о реализации муниципальной программы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Сведения </w:t>
      </w:r>
      <w:r>
        <w:rPr>
          <w:rFonts w:ascii="Times New Roman" w:hAnsi="Times New Roman"/>
          <w:b w:val="1"/>
          <w:sz w:val="28"/>
        </w:rPr>
        <w:t>о достижении значений показателей (индикаторов) муниципальной программы</w:t>
      </w:r>
      <w:r>
        <w:rPr>
          <w:rFonts w:ascii="Times New Roman" w:hAnsi="Times New Roman"/>
          <w:b w:val="1"/>
          <w:sz w:val="28"/>
        </w:rPr>
        <w:t>.</w:t>
      </w:r>
    </w:p>
    <w:p w14:paraId="8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Показатели (индикаторы) имеют следующие  значения: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действующих светильников 100%, план 100%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уровень </w:t>
      </w:r>
      <w:r>
        <w:rPr>
          <w:rFonts w:ascii="Times New Roman" w:hAnsi="Times New Roman"/>
          <w:sz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</w:rPr>
        <w:t>%, -  план 100%.</w:t>
      </w:r>
    </w:p>
    <w:p w14:paraId="8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</w:p>
    <w:p w14:paraId="8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Информация о результатах оценки эффективности реализации  муниципальной программы.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Оценка эффектив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8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8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90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428750" cy="5619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28750" cy="5619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9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9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9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показателей муниципальной программы.</w:t>
      </w:r>
    </w:p>
    <w:p w14:paraId="A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Данный показатель </w:t>
      </w:r>
      <w:r>
        <w:rPr>
          <w:rFonts w:ascii="Times New Roman" w:hAnsi="Times New Roman"/>
          <w:sz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A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A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A4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=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1,0</w:t>
      </w:r>
    </w:p>
    <w:p w14:paraId="A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A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A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реализации в отчетном году;</w:t>
      </w:r>
    </w:p>
    <w:p w14:paraId="A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A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</w:t>
      </w:r>
      <w:r>
        <w:rPr>
          <w:rFonts w:ascii="Times New Roman" w:hAnsi="Times New Roman"/>
          <w:sz w:val="28"/>
        </w:rPr>
        <w:t>пальной программы составляет 1,0</w:t>
      </w:r>
      <w:r>
        <w:rPr>
          <w:rFonts w:ascii="Times New Roman" w:hAnsi="Times New Roman"/>
          <w:sz w:val="28"/>
        </w:rPr>
        <w:t xml:space="preserve"> это характеризует </w:t>
      </w:r>
      <w:r>
        <w:rPr>
          <w:rFonts w:ascii="Times New Roman" w:hAnsi="Times New Roman"/>
          <w:sz w:val="28"/>
        </w:rPr>
        <w:t xml:space="preserve">высокий </w:t>
      </w:r>
      <w:r>
        <w:rPr>
          <w:rFonts w:ascii="Times New Roman" w:hAnsi="Times New Roman"/>
          <w:sz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A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A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AD000000">
      <w:pPr>
        <w:spacing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AE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1,0</w:t>
      </w:r>
    </w:p>
    <w:p w14:paraId="A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B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мероприятий;</w:t>
      </w:r>
    </w:p>
    <w:p w14:paraId="B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B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B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B5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B6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B7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6824,2</w:t>
      </w:r>
      <w:r>
        <w:rPr>
          <w:rFonts w:ascii="Times New Roman" w:hAnsi="Times New Roman"/>
          <w:sz w:val="28"/>
        </w:rPr>
        <w:t>/ 7323,3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ССуз =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0,93</w:t>
      </w:r>
    </w:p>
    <w:p w14:paraId="B8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B9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BA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расходы на реализацию  муниципальной программы в отчетном году;</w:t>
      </w:r>
    </w:p>
    <w:p w14:paraId="BB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B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BD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8290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558290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E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1,0/</w:t>
      </w:r>
      <w:r>
        <w:rPr>
          <w:rFonts w:ascii="Times New Roman" w:hAnsi="Times New Roman"/>
          <w:sz w:val="28"/>
        </w:rPr>
        <w:t>0,93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7</w:t>
      </w:r>
    </w:p>
    <w:p w14:paraId="B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C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C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260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29260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C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6885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476885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C3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C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C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C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C7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C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 Уровень реализации  муниципальной программы в целом оценивается по формуле:</w:t>
      </w:r>
    </w:p>
    <w:p w14:paraId="C9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CA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х 0,2</w:t>
      </w:r>
    </w:p>
    <w:p w14:paraId="CB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3</w:t>
      </w:r>
    </w:p>
    <w:p w14:paraId="CC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C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3</w:t>
      </w:r>
    </w:p>
    <w:p w14:paraId="C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Предложения по дальнейшей реализации </w:t>
      </w:r>
      <w:r>
        <w:rPr>
          <w:rFonts w:ascii="Times New Roman" w:hAnsi="Times New Roman"/>
          <w:b w:val="1"/>
          <w:sz w:val="28"/>
        </w:rPr>
        <w:t xml:space="preserve">муниципальной </w:t>
      </w:r>
      <w:r>
        <w:rPr>
          <w:rFonts w:ascii="Times New Roman" w:hAnsi="Times New Roman"/>
          <w:b w:val="1"/>
          <w:sz w:val="28"/>
        </w:rPr>
        <w:t>программы</w:t>
      </w:r>
    </w:p>
    <w:p w14:paraId="D0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i w:val="1"/>
          <w:sz w:val="28"/>
        </w:rPr>
      </w:pPr>
    </w:p>
    <w:p w14:paraId="D1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  достигнутые показатели, степень выполнения мероприятий программы, можно сделать вывод о том, что</w:t>
      </w:r>
      <w:r>
        <w:rPr>
          <w:rFonts w:ascii="Times New Roman" w:hAnsi="Times New Roman"/>
          <w:sz w:val="28"/>
        </w:rPr>
        <w:t xml:space="preserve"> реализация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является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реализации программных м</w:t>
      </w:r>
      <w:r>
        <w:rPr>
          <w:rFonts w:ascii="Times New Roman" w:hAnsi="Times New Roman"/>
          <w:sz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</w:rPr>
        <w:t>программы.</w:t>
      </w:r>
    </w:p>
    <w:p w14:paraId="D2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Дальнейшая реализация муници</w:t>
      </w:r>
      <w:r>
        <w:rPr>
          <w:rFonts w:ascii="Times New Roman" w:hAnsi="Times New Roman"/>
          <w:sz w:val="28"/>
        </w:rPr>
        <w:t>пальной программы по мероприятиям:</w:t>
      </w:r>
    </w:p>
    <w:p w14:paraId="D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на замену ламп ДРЛ 250 Вт уличного освещения на светодиодные;</w:t>
      </w:r>
    </w:p>
    <w:p w14:paraId="D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«Мероприятия по благоустройству территории поселения» направлено на улучшение и поддержание состояния зеленых насаждений, благоустройство родников находящихся на территории поселения;</w:t>
      </w:r>
    </w:p>
    <w:p w14:paraId="D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«Мероприятия по содержанию мест захоронения» направлено на </w:t>
      </w:r>
      <w:r>
        <w:rPr>
          <w:rFonts w:ascii="Times New Roman" w:hAnsi="Times New Roman"/>
          <w:sz w:val="28"/>
        </w:rPr>
        <w:t>улучшение санитарного  и эстетического вида территории кладбищ.</w:t>
      </w:r>
    </w:p>
    <w:p w14:paraId="D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D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A000000">
      <w:pPr>
        <w:sectPr>
          <w:headerReference r:id="rId3" w:type="default"/>
          <w:pgSz w:h="16838" w:orient="portrait" w:w="11906"/>
          <w:pgMar w:bottom="851" w:footer="709" w:gutter="0" w:header="709" w:left="1134" w:right="851" w:top="568"/>
          <w:titlePg/>
        </w:sectPr>
      </w:pPr>
    </w:p>
    <w:p w14:paraId="DB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14:paraId="DC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внебюджетных источников  </w:t>
      </w:r>
      <w:r>
        <w:rPr>
          <w:rFonts w:ascii="Times New Roman" w:hAnsi="Times New Roman"/>
          <w:b w:val="1"/>
          <w:sz w:val="28"/>
        </w:rPr>
        <w:t>на реализацию муниципальной програм</w:t>
      </w:r>
      <w:r>
        <w:rPr>
          <w:rFonts w:ascii="Times New Roman" w:hAnsi="Times New Roman"/>
          <w:b w:val="1"/>
          <w:sz w:val="28"/>
        </w:rPr>
        <w:t>мы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DE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2977"/>
        <w:gridCol w:w="1559"/>
        <w:gridCol w:w="1701"/>
        <w:gridCol w:w="1418"/>
      </w:tblGrid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t>( тыс.рублей)</w:t>
            </w:r>
            <w:r>
              <w:rPr>
                <w:rFonts w:ascii="Times New Roman" w:hAnsi="Times New Roman"/>
                <w:sz w:val="24"/>
              </w:rPr>
              <w:t xml:space="preserve">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</w:rPr>
              <w:t>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росписи</w:t>
            </w:r>
          </w:p>
          <w:p w14:paraId="E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«Обеспечение качественными коммунальными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услугами населения и повышение уровня благоустройства</w:t>
            </w:r>
          </w:p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318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 </w:t>
            </w:r>
            <w:r>
              <w:rPr>
                <w:rFonts w:ascii="Times New Roman" w:hAnsi="Times New Roman"/>
                <w:sz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</w:rPr>
              <w:t xml:space="preserve"> микрорайона для многодетных семей в с.Троицкое, Неклиновского р-на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22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25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</w:rPr>
              <w:t>«Развитие благоустройства территории Троицкого сельского поселения»</w:t>
            </w:r>
          </w:p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</w:tr>
      <w:tr>
        <w:trPr>
          <w:trHeight w:hRule="atLeast" w:val="27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3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5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2.1. </w:t>
            </w:r>
            <w:r>
              <w:rPr>
                <w:rFonts w:ascii="Times New Roman" w:hAnsi="Times New Roman"/>
                <w:sz w:val="24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1721,5</w:t>
            </w:r>
          </w:p>
        </w:tc>
      </w:tr>
      <w:tr>
        <w:trPr>
          <w:trHeight w:hRule="atLeast" w:val="32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1721,5</w:t>
            </w:r>
          </w:p>
        </w:tc>
      </w:tr>
      <w:tr>
        <w:trPr>
          <w:trHeight w:hRule="atLeast" w:val="301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 Благоустройство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3638,7</w:t>
            </w:r>
          </w:p>
        </w:tc>
      </w:tr>
      <w:tr>
        <w:trPr>
          <w:trHeight w:hRule="atLeast" w:val="32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3638,7</w:t>
            </w: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2.3. </w:t>
            </w:r>
            <w:r>
              <w:rPr>
                <w:rFonts w:ascii="Times New Roman" w:hAnsi="Times New Roman"/>
                <w:sz w:val="24"/>
              </w:rPr>
              <w:t>Содержание мест захоронения в Троицком сельском поселении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1054,5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1054,5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5010000">
      <w:pPr>
        <w:sectPr>
          <w:headerReference r:id="rId2" w:type="default"/>
          <w:pgSz w:h="16838" w:orient="portrait" w:w="11906"/>
          <w:pgMar w:bottom="851" w:footer="709" w:gutter="0" w:header="709" w:left="1134" w:right="851" w:top="567"/>
        </w:sectPr>
      </w:pPr>
    </w:p>
    <w:p w14:paraId="96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97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9801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9901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выполнении основных мероприятий подпрограмм и </w:t>
      </w:r>
    </w:p>
    <w:p w14:paraId="9A01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9B01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23</w:t>
      </w:r>
      <w:r>
        <w:rPr>
          <w:rFonts w:ascii="Times New Roman" w:hAnsi="Times New Roman"/>
          <w:b w:val="1"/>
          <w:sz w:val="24"/>
        </w:rPr>
        <w:t xml:space="preserve"> г.</w:t>
      </w: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329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«Обеспечение качественными коммунальными</w:t>
            </w:r>
          </w:p>
          <w:p w14:paraId="B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услугами населения и повышение уровня благоустройства</w:t>
            </w:r>
          </w:p>
          <w:p w14:paraId="B3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B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старший инспектор Стращенко А.А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B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C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Обустройство объектами инженерной инфраструктуры микрорайона для многодетных </w:t>
            </w:r>
            <w:r>
              <w:rPr>
                <w:rFonts w:ascii="Times New Roman" w:hAnsi="Times New Roman"/>
                <w:sz w:val="24"/>
              </w:rPr>
              <w:t>семей в с.Троицкое, Неклиновского р-на</w:t>
            </w:r>
          </w:p>
          <w:p w14:paraId="C9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C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D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технического состояния газопровода п.Луначарский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Улучшили технического состояния газопровода п.Луначарский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</w:t>
            </w:r>
          </w:p>
          <w:p w14:paraId="DE01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благоустройства территории Троицкого сельского поселения»</w:t>
            </w:r>
          </w:p>
          <w:p w14:paraId="DF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E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E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E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1.Проведено техническое обслуживание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фонарей уличного освещения на территории поселения.</w:t>
            </w:r>
          </w:p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>установка остановочных павильонов, ремонт</w:t>
            </w:r>
            <w:r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ВОВ</w:t>
            </w:r>
          </w:p>
          <w:p w14:paraId="E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3.Произведен оплата услуг </w:t>
            </w:r>
            <w:r>
              <w:rPr>
                <w:rFonts w:ascii="Times New Roman" w:hAnsi="Times New Roman"/>
              </w:rPr>
              <w:t>по содержанию гражданского кладбища с.Троицкое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2.1..</w:t>
            </w:r>
          </w:p>
          <w:p w14:paraId="EF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Администрация Троицкого сельского поселения     </w:t>
            </w:r>
          </w:p>
          <w:p w14:paraId="F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Улучшить уличное</w:t>
            </w:r>
          </w:p>
          <w:p w14:paraId="F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освещение на территории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Произведена о оплата услуг по проведению технического обслуживания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уличного освещения, а также произведена оплату за потребленную эл.энергию уличного освещения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B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F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/>
              </w:rPr>
              <w:t xml:space="preserve"> , улучшение экологического состояния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реконструкция системы видеонаблюдения по адресу с.Троицкое </w:t>
            </w:r>
            <w:r>
              <w:rPr>
                <w:rFonts w:ascii="Times New Roman" w:hAnsi="Times New Roman"/>
              </w:rPr>
              <w:t>Ленина 59б (парк);</w:t>
            </w:r>
          </w:p>
          <w:p w14:paraId="0302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выполнены работы по чистке дренажных канав;</w:t>
            </w:r>
          </w:p>
          <w:p w14:paraId="0402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произведен ремонт сцены на территории парка;</w:t>
            </w:r>
          </w:p>
          <w:p w14:paraId="0502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произведена стрижка живой изгороди </w:t>
            </w:r>
          </w:p>
          <w:p w14:paraId="0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работы по уборке территории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A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мест захоронения в Троицком сельском поселении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0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 оплата услуг по уборке гражданского кладбища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1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Проведена проверка объектов на предмет благоустройства территории Троицкого </w:t>
            </w:r>
            <w:r>
              <w:rPr>
                <w:rFonts w:ascii="Times New Roman" w:hAnsi="Times New Roman"/>
                <w:sz w:val="24"/>
              </w:rPr>
              <w:t>сельского 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D02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bookmarkStart w:id="6" w:name="Par1596"/>
      <w:bookmarkEnd w:id="6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1E02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F02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102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22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программы Троицкого сельского поселения «</w:t>
      </w:r>
      <w:r>
        <w:rPr>
          <w:rFonts w:ascii="Times New Roman" w:hAnsi="Times New Roman"/>
          <w:b w:val="1"/>
          <w:sz w:val="28"/>
        </w:rPr>
        <w:t>Обеспечение качественными</w:t>
      </w:r>
    </w:p>
    <w:p w14:paraId="23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коммунальными услугами населения и повышение</w:t>
      </w:r>
    </w:p>
    <w:p w14:paraId="24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уровня благоустройства территории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2502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»    </w:t>
      </w:r>
    </w:p>
    <w:p w14:paraId="2602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27020000">
      <w:pPr>
        <w:pStyle w:val="Style_6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5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402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7020000">
      <w:pPr>
        <w:pStyle w:val="Style_6"/>
        <w:ind/>
        <w:jc w:val="center"/>
        <w:rPr>
          <w:rFonts w:ascii="Times New Roman" w:hAnsi="Times New Roman"/>
          <w:sz w:val="24"/>
        </w:rPr>
      </w:pPr>
    </w:p>
    <w:p w14:paraId="38020000">
      <w:pPr>
        <w:pStyle w:val="Style_6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5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4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</w:rPr>
              <w:t>многодетных семей в с.Троицкое, Неклиновского р-на</w:t>
            </w:r>
          </w:p>
          <w:p w14:paraId="5302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5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(старший инспектор </w:t>
            </w:r>
            <w:r>
              <w:rPr>
                <w:rFonts w:ascii="Times New Roman" w:hAnsi="Times New Roman"/>
                <w:sz w:val="24"/>
              </w:rPr>
              <w:t>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6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 тыс.рублей экономия по покраске газопровода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</w:rPr>
              <w:t>«Развитие благоустройства территории Троицкого сельского поселения»</w:t>
            </w:r>
          </w:p>
          <w:p w14:paraId="6E02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7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7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2163,5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442,0 -экономия  Оплата согласно выставляемых счетов за уличное освещение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 Благоустройство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8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3638,7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освоено -54,3тыс.руб в</w:t>
            </w:r>
            <w:r>
              <w:rPr>
                <w:rFonts w:ascii="Times New Roman" w:hAnsi="Times New Roman"/>
                <w:sz w:val="24"/>
              </w:rPr>
              <w:t xml:space="preserve"> связи с непогодными условиями, не заключен контракт на приобретение живой изгороди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2.3. </w:t>
            </w:r>
            <w:r>
              <w:rPr>
                <w:rFonts w:ascii="Times New Roman" w:hAnsi="Times New Roman"/>
                <w:sz w:val="24"/>
              </w:rPr>
              <w:t>Содержание мест захоронения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9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1055,7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1054,5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907,3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освоено – 1,2тыс.рублей  , экономия по закупке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A4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93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</w:t>
            </w:r>
          </w:p>
          <w:p w14:paraId="A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(старший инспектор 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B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BD020000">
      <w:pPr>
        <w:widowControl w:val="0"/>
        <w:ind w:firstLine="284" w:left="0" w:right="-284"/>
        <w:jc w:val="both"/>
        <w:rPr>
          <w:sz w:val="24"/>
        </w:rPr>
      </w:pPr>
      <w:bookmarkStart w:id="7" w:name="Par1413"/>
      <w:bookmarkEnd w:id="7"/>
    </w:p>
    <w:p w14:paraId="B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F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0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102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</w:p>
    <w:sectPr>
      <w:headerReference r:id="rId1" w:type="default"/>
      <w:pgSz w:h="11906" w:orient="landscape" w:w="16838"/>
      <w:pgMar w:bottom="1134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7_ch"/>
    <w:link w:val="Style_14"/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Postan"/>
    <w:basedOn w:val="Style_7"/>
    <w:link w:val="Style_2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Postan"/>
    <w:basedOn w:val="Style_7_ch"/>
    <w:link w:val="Style_24"/>
    <w:rPr>
      <w:rFonts w:ascii="Times New Roman" w:hAnsi="Times New Roman"/>
      <w:sz w:val="28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Title"/>
    <w:basedOn w:val="Style_7"/>
    <w:link w:val="Style_2_ch"/>
    <w:uiPriority w:val="10"/>
    <w:qFormat/>
    <w:pPr>
      <w:spacing w:after="0" w:line="240" w:lineRule="auto"/>
      <w:ind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5" w:type="paragraph">
    <w:name w:val="ConsPlusCell"/>
    <w:link w:val="Style_5_ch"/>
    <w:pPr>
      <w:widowControl w:val="0"/>
      <w:ind/>
    </w:pPr>
    <w:rPr>
      <w:sz w:val="22"/>
    </w:rPr>
  </w:style>
  <w:style w:styleId="Style_5_ch" w:type="character">
    <w:name w:val="ConsPlusCell"/>
    <w:link w:val="Style_5"/>
    <w:rPr>
      <w:sz w:val="22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6.wmf" Type="http://schemas.openxmlformats.org/officeDocument/2006/relationships/imag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webSettings.xml" Type="http://schemas.openxmlformats.org/officeDocument/2006/relationships/webSettings"/>
  <Relationship Id="rId6" Target="media/3.wmf" Type="http://schemas.openxmlformats.org/officeDocument/2006/relationships/image"/>
  <Relationship Id="rId5" Target="media/2.png" Type="http://schemas.openxmlformats.org/officeDocument/2006/relationships/image"/>
  <Relationship Id="rId16" Target="numbering.xml" Type="http://schemas.openxmlformats.org/officeDocument/2006/relationships/numbering"/>
  <Relationship Id="rId4" Target="media/1.jpeg" Type="http://schemas.openxmlformats.org/officeDocument/2006/relationships/image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2024-02-26T08:03:14Z</dcterms:modified>
</cp:coreProperties>
</file>