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drawing>
          <wp:inline>
            <wp:extent cx="752475" cy="96735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 НЕКЛИНОВСКИЙ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ОБРАЗОВАНИЕ «ТРОИЦКОЕ СЕЛЬСКОЕ ПОСЕЛЕНИ</w:t>
      </w:r>
      <w:r>
        <w:rPr>
          <w:b w:val="1"/>
          <w:sz w:val="26"/>
        </w:rPr>
        <w:t>Е</w:t>
      </w:r>
      <w:r>
        <w:rPr>
          <w:b w:val="1"/>
          <w:sz w:val="26"/>
        </w:rPr>
        <w:t>»</w:t>
      </w:r>
    </w:p>
    <w:p w14:paraId="06000000">
      <w:pPr>
        <w:ind w:hanging="567" w:left="567"/>
        <w:jc w:val="center"/>
        <w:rPr>
          <w:b w:val="1"/>
          <w:sz w:val="24"/>
        </w:rPr>
      </w:pPr>
    </w:p>
    <w:p w14:paraId="07000000">
      <w:pPr>
        <w:ind w:hanging="567" w:left="567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ТРОИЦКОГО СЕЛЬСКОГО ПОСЕЛЕНИЯ</w:t>
      </w:r>
    </w:p>
    <w:p w14:paraId="08000000">
      <w:pPr>
        <w:ind w:hanging="567" w:left="567"/>
        <w:jc w:val="both"/>
        <w:rPr>
          <w:sz w:val="24"/>
        </w:rPr>
      </w:pPr>
    </w:p>
    <w:p w14:paraId="09000000">
      <w:pPr>
        <w:pStyle w:val="Style_1"/>
        <w:ind w:right="263"/>
      </w:pPr>
      <w:r>
        <w:t>РАСПОРЯЖЕНИЕ</w:t>
      </w:r>
    </w:p>
    <w:p w14:paraId="0A000000">
      <w:pPr>
        <w:ind/>
        <w:jc w:val="both"/>
        <w:rPr>
          <w:b w:val="1"/>
          <w:sz w:val="1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24</w:t>
      </w:r>
      <w:r>
        <w:rPr>
          <w:sz w:val="28"/>
        </w:rPr>
        <w:t>.12.20</w:t>
      </w:r>
      <w:r>
        <w:rPr>
          <w:sz w:val="28"/>
        </w:rPr>
        <w:t>21</w:t>
      </w:r>
      <w:r>
        <w:rPr>
          <w:sz w:val="28"/>
        </w:rPr>
        <w:t xml:space="preserve"> г. № 218</w:t>
      </w: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sz w:val="28"/>
        </w:rPr>
      </w:pPr>
      <w:r>
        <w:rPr>
          <w:sz w:val="28"/>
        </w:rPr>
        <w:t>с. Троицкое</w:t>
      </w:r>
    </w:p>
    <w:p w14:paraId="0E000000">
      <w:pPr>
        <w:rPr>
          <w:sz w:val="28"/>
        </w:rPr>
      </w:pPr>
    </w:p>
    <w:tbl>
      <w:tblPr>
        <w:tblStyle w:val="Style_2"/>
        <w:tblLayout w:type="fixed"/>
      </w:tblPr>
      <w:tblGrid>
        <w:gridCol w:w="10314"/>
      </w:tblGrid>
      <w:tr>
        <w:trPr>
          <w:trHeight w:hRule="atLeast" w:val="2178"/>
        </w:trPr>
        <w:tc>
          <w:tcPr>
            <w:tcW w:type="dxa" w:w="10314"/>
            <w:shd w:fill="auto" w:val="clear"/>
          </w:tcPr>
          <w:p w14:paraId="0F000000">
            <w:pPr>
              <w:ind/>
              <w:jc w:val="center"/>
              <w:rPr>
                <w:b w:val="1"/>
                <w:sz w:val="27"/>
              </w:rPr>
            </w:pPr>
          </w:p>
          <w:p w14:paraId="10000000">
            <w:pPr>
              <w:pStyle w:val="Style_3"/>
              <w:numPr>
                <w:ilvl w:val="0"/>
                <w:numId w:val="0"/>
              </w:numPr>
              <w:spacing w:after="0" w:before="0" w:line="240" w:lineRule="auto"/>
              <w:ind w:firstLine="0" w:left="-5"/>
              <w:jc w:val="center"/>
              <w:rPr>
                <w:rFonts w:ascii="Times New Roman" w:hAnsi="Times New Roman"/>
                <w:b w:val="1"/>
                <w:color w:val="000000"/>
                <w:sz w:val="27"/>
              </w:rPr>
            </w:pPr>
            <w:r>
              <w:rPr>
                <w:rFonts w:ascii="Times New Roman" w:hAnsi="Times New Roman"/>
                <w:b w:val="1"/>
                <w:color w:val="000000"/>
                <w:sz w:val="27"/>
              </w:rPr>
              <w:t xml:space="preserve">Об </w:t>
            </w:r>
            <w:r>
              <w:rPr>
                <w:rFonts w:ascii="Times New Roman" w:hAnsi="Times New Roman"/>
                <w:b w:val="1"/>
                <w:color w:val="000000"/>
                <w:sz w:val="27"/>
              </w:rPr>
              <w:t xml:space="preserve">утверждении Порядка </w:t>
            </w:r>
            <w:r>
              <w:rPr>
                <w:rFonts w:ascii="Times New Roman" w:hAnsi="Times New Roman"/>
                <w:b w:val="1"/>
                <w:color w:val="000000"/>
                <w:sz w:val="27"/>
              </w:rPr>
              <w:t>определения и применения значений допустимых (возможных) отклонений от значений показателей качества и (или) объема муниципальной услуги (работы), установленных в муниципальном задании на оказание муниципальных услуг (выполнение работ) муниципальным бюджетным учреждениям,в отношении которых Администрация Троицкого сельского поселения осуществляет функции и полномочия учредителя</w:t>
            </w:r>
          </w:p>
        </w:tc>
      </w:tr>
    </w:tbl>
    <w:p w14:paraId="11000000">
      <w:pPr>
        <w:ind/>
        <w:jc w:val="both"/>
        <w:rPr>
          <w:sz w:val="28"/>
        </w:rPr>
      </w:pPr>
    </w:p>
    <w:p w14:paraId="12000000">
      <w:pPr>
        <w:ind w:firstLine="9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соответствии с абзацем шестым пункта 2.2 Положения о формировании муниципального  задания на оказание муниципальных  услуг (выполнение работ) в отношении муниципальных учреждений Троицкого сельского поселения  и финансовом обеспечении выполнения муниципального задания, утвержденного постановлением Администрации Троицкого сельского поселения от 13 октября  2015 г. N 173 "О порядке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формировании муниципального  задания на оказание муниципальных  услуг (выполнение работ) в отношении муниципальных учреждений Троицкого сельского поселения  и финансовом обеспечении выполнения муниципального задания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:</w:t>
      </w:r>
    </w:p>
    <w:p w14:paraId="13000000">
      <w:pPr>
        <w:ind w:firstLine="900" w:left="0"/>
        <w:jc w:val="both"/>
        <w:rPr>
          <w:rFonts w:ascii="Times New Roman" w:hAnsi="Times New Roman"/>
          <w:sz w:val="24"/>
        </w:rPr>
      </w:pPr>
    </w:p>
    <w:p w14:paraId="14000000">
      <w:pPr>
        <w:ind w:firstLine="540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Утвердить прилагаемый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 Порядок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определения и применения значений допустимых (возможных) отклонений от значений показателей качества и (или) объема муниципальной услуги (работы), установленных в муниципальном задании на оказание муниципальных услуг (выполнение работ) </w:t>
      </w:r>
      <w:r>
        <w:rPr>
          <w:rFonts w:ascii="Times New Roman" w:hAnsi="Times New Roman"/>
          <w:b w:val="0"/>
          <w:color w:val="000000"/>
          <w:sz w:val="24"/>
        </w:rPr>
        <w:t>муниципальным бюджетным учреждениям, в отношении которых Администрация Троицкого сельского поселения осуществляет функции и полномочия учредителя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(далее соответственно - Порядок, муниципальное задан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ие</w:t>
      </w:r>
      <w:r>
        <w:rPr>
          <w:rFonts w:ascii="Arial" w:hAnsi="Arial"/>
          <w:b w:val="0"/>
          <w:i w:val="0"/>
          <w:caps w:val="0"/>
          <w:color w:val="000000"/>
          <w:spacing w:val="0"/>
          <w:sz w:val="24"/>
          <w:highlight w:val="white"/>
        </w:rPr>
        <w:t>).</w:t>
      </w:r>
    </w:p>
    <w:p w14:paraId="15000000">
      <w:pPr>
        <w:ind w:firstLine="540" w:left="0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 xml:space="preserve">. </w:t>
      </w:r>
      <w:r>
        <w:rPr>
          <w:sz w:val="24"/>
        </w:rPr>
        <w:t>Установить, что Порядок применения при расчете объема финансового обеспечения выполнения муниципального задания, начиная с муниципального задания на 2022 год и на плановый период 2023 и 2024 годов</w:t>
      </w:r>
      <w:r>
        <w:rPr>
          <w:sz w:val="24"/>
        </w:rPr>
        <w:t>.</w:t>
      </w:r>
    </w:p>
    <w:p w14:paraId="16000000">
      <w:pPr>
        <w:ind w:firstLine="540" w:lef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 xml:space="preserve">. </w:t>
      </w:r>
      <w:r>
        <w:rPr>
          <w:sz w:val="24"/>
        </w:rPr>
        <w:t>Настоящее распоряжение</w:t>
      </w:r>
      <w:r>
        <w:rPr>
          <w:sz w:val="24"/>
        </w:rPr>
        <w:t xml:space="preserve"> вступает в силу с момента подписания.</w:t>
      </w:r>
    </w:p>
    <w:p w14:paraId="17000000">
      <w:pPr>
        <w:ind w:firstLine="540" w:left="0"/>
        <w:jc w:val="both"/>
        <w:rPr>
          <w:caps w:val="1"/>
          <w:sz w:val="24"/>
        </w:rPr>
      </w:pPr>
      <w:r>
        <w:rPr>
          <w:sz w:val="24"/>
        </w:rPr>
        <w:t>4</w:t>
      </w:r>
      <w:r>
        <w:rPr>
          <w:sz w:val="24"/>
        </w:rPr>
        <w:t xml:space="preserve">. Контроль за исполнением настоящего </w:t>
      </w:r>
      <w:r>
        <w:rPr>
          <w:sz w:val="24"/>
        </w:rPr>
        <w:t>распоряжения</w:t>
      </w:r>
      <w:r>
        <w:rPr>
          <w:sz w:val="24"/>
        </w:rPr>
        <w:t xml:space="preserve"> оставляю за собой.</w:t>
      </w:r>
    </w:p>
    <w:p w14:paraId="18000000">
      <w:pPr>
        <w:ind/>
        <w:jc w:val="both"/>
        <w:rPr>
          <w:sz w:val="24"/>
        </w:rPr>
      </w:pPr>
    </w:p>
    <w:p w14:paraId="19000000">
      <w:pPr>
        <w:ind/>
        <w:jc w:val="both"/>
        <w:rPr>
          <w:sz w:val="24"/>
        </w:rPr>
      </w:pPr>
    </w:p>
    <w:p w14:paraId="1A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Глава Администра</w:t>
      </w:r>
      <w:r>
        <w:rPr>
          <w:b w:val="1"/>
          <w:sz w:val="24"/>
        </w:rPr>
        <w:t xml:space="preserve">ции </w:t>
      </w:r>
    </w:p>
    <w:p w14:paraId="1B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Троицкого сельского поселения                                  </w:t>
      </w:r>
      <w:r>
        <w:rPr>
          <w:b w:val="1"/>
          <w:sz w:val="24"/>
        </w:rPr>
        <w:t xml:space="preserve">               </w:t>
      </w:r>
      <w:r>
        <w:rPr>
          <w:b w:val="1"/>
          <w:sz w:val="24"/>
        </w:rPr>
        <w:t xml:space="preserve">                             </w:t>
      </w:r>
      <w:r>
        <w:rPr>
          <w:b w:val="1"/>
          <w:sz w:val="24"/>
        </w:rPr>
        <w:t xml:space="preserve">О.Н.Гурина </w:t>
      </w:r>
    </w:p>
    <w:p w14:paraId="1C000000">
      <w:pPr>
        <w:ind/>
        <w:jc w:val="right"/>
        <w:rPr>
          <w:sz w:val="24"/>
        </w:rPr>
      </w:pPr>
      <w:r>
        <w:rPr>
          <w:sz w:val="28"/>
        </w:rPr>
        <w:br w:type="page"/>
      </w:r>
      <w:bookmarkStart w:id="1" w:name="_Hlk67477108"/>
      <w:r>
        <w:rPr>
          <w:sz w:val="24"/>
        </w:rPr>
        <w:t>Приложение</w:t>
      </w:r>
      <w:r>
        <w:rPr>
          <w:sz w:val="24"/>
        </w:rPr>
        <w:t xml:space="preserve"> </w:t>
      </w:r>
    </w:p>
    <w:p w14:paraId="1D000000">
      <w:pPr>
        <w:ind/>
        <w:jc w:val="right"/>
        <w:rPr>
          <w:sz w:val="24"/>
        </w:rPr>
      </w:pPr>
      <w:r>
        <w:rPr>
          <w:sz w:val="24"/>
        </w:rPr>
        <w:t xml:space="preserve">к </w:t>
      </w:r>
      <w:r>
        <w:rPr>
          <w:sz w:val="24"/>
        </w:rPr>
        <w:t>распоряжению</w:t>
      </w:r>
    </w:p>
    <w:p w14:paraId="1E000000">
      <w:pPr>
        <w:ind/>
        <w:jc w:val="right"/>
        <w:rPr>
          <w:sz w:val="24"/>
        </w:rPr>
      </w:pPr>
      <w:r>
        <w:rPr>
          <w:sz w:val="24"/>
        </w:rPr>
        <w:t>А</w:t>
      </w:r>
      <w:r>
        <w:rPr>
          <w:sz w:val="24"/>
        </w:rPr>
        <w:t xml:space="preserve">дминистрации </w:t>
      </w:r>
      <w:r>
        <w:rPr>
          <w:sz w:val="24"/>
        </w:rPr>
        <w:t xml:space="preserve">Троицкого </w:t>
      </w:r>
    </w:p>
    <w:p w14:paraId="1F000000">
      <w:pPr>
        <w:ind/>
        <w:jc w:val="right"/>
        <w:rPr>
          <w:sz w:val="24"/>
        </w:rPr>
      </w:pPr>
      <w:r>
        <w:rPr>
          <w:sz w:val="24"/>
        </w:rPr>
        <w:t>сельского поселения</w:t>
      </w:r>
    </w:p>
    <w:p w14:paraId="20000000">
      <w:pPr>
        <w:ind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24</w:t>
      </w:r>
      <w:r>
        <w:rPr>
          <w:sz w:val="24"/>
        </w:rPr>
        <w:t>.12</w:t>
      </w:r>
      <w:r>
        <w:rPr>
          <w:sz w:val="24"/>
        </w:rPr>
        <w:t>.20</w:t>
      </w:r>
      <w:r>
        <w:rPr>
          <w:sz w:val="24"/>
        </w:rPr>
        <w:t>21</w:t>
      </w:r>
      <w:r>
        <w:rPr>
          <w:sz w:val="24"/>
        </w:rPr>
        <w:t>г. № 218</w:t>
      </w:r>
    </w:p>
    <w:p w14:paraId="21000000">
      <w:pPr>
        <w:ind/>
        <w:jc w:val="center"/>
        <w:rPr>
          <w:sz w:val="24"/>
        </w:rPr>
      </w:pPr>
      <w:bookmarkEnd w:id="1"/>
      <w:r>
        <w:br/>
      </w:r>
      <w:r>
        <w:rPr>
          <w:rFonts w:ascii="Times New Roman" w:hAnsi="Times New Roman"/>
          <w:b w:val="1"/>
          <w:color w:val="000000"/>
          <w:sz w:val="24"/>
        </w:rPr>
        <w:t>Порядок</w:t>
      </w:r>
    </w:p>
    <w:p w14:paraId="22000000">
      <w:pPr>
        <w:spacing w:after="120" w:before="120"/>
        <w:ind w:hanging="120" w:left="120" w:right="12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определения и применения значений допустимых (возможных) отклонений от значений показателей качества и (или) объема муниципальной услуги (работы), установленных в муниципальном задании на оказание муниципальных услуг (выполнение работ) муниципальным бюджетным учреждениям,в отношении которых Администрация Троицкого сельского поселения осуществляет функции и полномочия учредителя</w:t>
      </w:r>
    </w:p>
    <w:p w14:paraId="23000000">
      <w:pPr>
        <w:spacing w:after="120" w:before="120"/>
        <w:ind w:hanging="120" w:left="120" w:right="12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4000000">
      <w:pPr>
        <w:spacing w:after="120" w:before="120"/>
        <w:ind w:right="12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1. Настоящий Порядок устанавливает правила определения и применения значений допустимых (возможных) отклонений от значений показателей качества и (или) объема муниципальной услуги (работы), установленных в муниципальном задании на оказание муниципальных услуг (выполнение работ)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муниципальным бюджетным учреждениям, в отношении которых Администрация Троицкого сельского поселения осуществляет функции и полномочия учредителя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(далее соответственно - допустимые (возможные) отклонения, муниципальное  задание, учреждения).</w:t>
      </w:r>
    </w:p>
    <w:p w14:paraId="25000000">
      <w:pPr>
        <w:spacing w:after="3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2. Определение показателей допустимых (возможных) отклонений от значений показателей качества и (или) объема муниципальной услуги (работы), установленных в муниципальном задании, в пределах которых муниципальное задание считается выполненным, осуществляется при формировании и утверждении муниципального задания на очередной финансовый год и на плановый период по каждой муниципальной услуге (работе).</w:t>
      </w:r>
    </w:p>
    <w:p w14:paraId="26000000">
      <w:pPr>
        <w:spacing w:after="3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3. Допустимое (возможное) отклонение определяется как разница между значением показателя объема и (или) качества муниципальной услуги (работы), утвержденного в муниципальном задании на отчетную дату, и значением показателя объема и (или) качества муниципальной услуги (работы), исполненного на отчетную дату.</w:t>
      </w:r>
    </w:p>
    <w:p w14:paraId="27000000">
      <w:pPr>
        <w:spacing w:after="3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В случае если допустимое (возможное) отклонение устанавливается в процентах, то значение допустимого (возможного) отклонения определяется путем умножения значения показателя объема и (или) качества муниципальной услуги (работы), установленного в муниципальном задании на год,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муниципального задание считается выполненным.</w:t>
      </w:r>
    </w:p>
    <w:p w14:paraId="28000000">
      <w:pPr>
        <w:spacing w:after="3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4. Значение показателя допустимого (возможного) отклонения установленного в процентах от установленных в муниципальном задании значений показателей объема и (или) качества муниципальной услуги (работы) в отношении отдельной муниципальной услуги (работы) не может превышать 10 процентов.</w:t>
      </w:r>
    </w:p>
    <w:p w14:paraId="29000000">
      <w:pPr>
        <w:spacing w:after="3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 Показатель допустимого отклонения не применяется в случаях, если  единицей объема муниципальной услуги (работы) является муниципальная услуга (работа) в целом (в части показателей объема муниципальных работ).</w:t>
      </w:r>
    </w:p>
    <w:p w14:paraId="2A000000">
      <w:pPr>
        <w:spacing w:after="30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6. Значение показателей допустимых отклонений, применяемые на текущий финансовый год, могут быть изменены только при формировании муниципального задания на очередной финансовый год.</w:t>
      </w:r>
    </w:p>
    <w:p w14:paraId="2B000000">
      <w:pPr>
        <w:ind/>
        <w:jc w:val="right"/>
        <w:rPr>
          <w:sz w:val="28"/>
        </w:rPr>
      </w:pPr>
    </w:p>
    <w:sectPr>
      <w:pgSz w:h="16834" w:orient="portrait" w:w="11909"/>
      <w:pgMar w:bottom="720" w:footer="720" w:gutter="0" w:header="720" w:left="925" w:right="832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8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ind/>
      <w:outlineLvl w:val="2"/>
    </w:pPr>
    <w:rPr>
      <w:b w:val="1"/>
      <w:sz w:val="28"/>
    </w:rPr>
  </w:style>
  <w:style w:styleId="Style_9_ch" w:type="character">
    <w:name w:val="heading 3"/>
    <w:basedOn w:val="Style_4_ch"/>
    <w:link w:val="Style_9"/>
    <w:rPr>
      <w:b w:val="1"/>
      <w:sz w:val="28"/>
    </w:rPr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Body Text"/>
    <w:basedOn w:val="Style_4"/>
    <w:link w:val="Style_11_ch"/>
    <w:pPr>
      <w:ind/>
      <w:jc w:val="both"/>
    </w:pPr>
    <w:rPr>
      <w:sz w:val="28"/>
    </w:rPr>
  </w:style>
  <w:style w:styleId="Style_11_ch" w:type="character">
    <w:name w:val="Body Text"/>
    <w:basedOn w:val="Style_4_ch"/>
    <w:link w:val="Style_11"/>
    <w:rPr>
      <w:sz w:val="28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ind/>
      <w:outlineLvl w:val="0"/>
    </w:pPr>
    <w:rPr>
      <w:sz w:val="28"/>
    </w:rPr>
  </w:style>
  <w:style w:styleId="Style_3_ch" w:type="character">
    <w:name w:val="heading 1"/>
    <w:basedOn w:val="Style_4_ch"/>
    <w:link w:val="Style_3"/>
    <w:rPr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List Bullet"/>
    <w:basedOn w:val="Style_4"/>
    <w:link w:val="Style_18_ch"/>
    <w:pPr>
      <w:numPr>
        <w:ilvl w:val="0"/>
        <w:numId w:val="1"/>
      </w:numPr>
    </w:pPr>
  </w:style>
  <w:style w:styleId="Style_18_ch" w:type="character">
    <w:name w:val="List Bullet"/>
    <w:basedOn w:val="Style_4_ch"/>
    <w:link w:val="Style_18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22_ch" w:type="character">
    <w:name w:val="footer"/>
    <w:basedOn w:val="Style_4_ch"/>
    <w:link w:val="Style_22"/>
    <w:rPr>
      <w:sz w:val="24"/>
    </w:rPr>
  </w:style>
  <w:style w:styleId="Style_23" w:type="paragraph">
    <w:name w:val="Body Text 2"/>
    <w:basedOn w:val="Style_4"/>
    <w:link w:val="Style_23_ch"/>
    <w:rPr>
      <w:sz w:val="28"/>
    </w:rPr>
  </w:style>
  <w:style w:styleId="Style_23_ch" w:type="character">
    <w:name w:val="Body Text 2"/>
    <w:basedOn w:val="Style_4_ch"/>
    <w:link w:val="Style_23"/>
    <w:rPr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sz w:val="36"/>
    </w:rPr>
  </w:style>
  <w:style w:styleId="Style_1_ch" w:type="character">
    <w:name w:val="Title"/>
    <w:basedOn w:val="Style_4_ch"/>
    <w:link w:val="Style_1"/>
    <w:rPr>
      <w:sz w:val="36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4"/>
    <w:next w:val="Style_4"/>
    <w:link w:val="Style_27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27_ch" w:type="character">
    <w:name w:val="heading 2"/>
    <w:basedOn w:val="Style_4_ch"/>
    <w:link w:val="Style_27"/>
    <w:rPr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2024-11-19T11:14:50Z</dcterms:modified>
</cp:coreProperties>
</file>