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14"/>
        </w:rPr>
      </w:pPr>
    </w:p>
    <w:p w14:paraId="03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РОСТОВСКАЯ ОБЛАСТЬ  НЕКЛИНОВСКИЙ РАЙОН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 «ТРОИЦКОЕ СЕЛЬСКОЕ ПОСЕЛЕНИ</w:t>
      </w:r>
      <w:r>
        <w:rPr>
          <w:b w:val="1"/>
        </w:rPr>
        <w:t>Е</w:t>
      </w:r>
      <w:r>
        <w:rPr>
          <w:b w:val="1"/>
        </w:rPr>
        <w:t>»</w:t>
      </w:r>
    </w:p>
    <w:p w14:paraId="06000000">
      <w:pPr>
        <w:ind w:hanging="567" w:left="567"/>
        <w:jc w:val="center"/>
        <w:rPr>
          <w:b w:val="1"/>
        </w:rPr>
      </w:pPr>
    </w:p>
    <w:p w14:paraId="07000000">
      <w:pPr>
        <w:ind w:hanging="567" w:left="567"/>
        <w:jc w:val="center"/>
        <w:rPr>
          <w:b w:val="1"/>
        </w:rPr>
      </w:pPr>
      <w:r>
        <w:rPr>
          <w:b w:val="1"/>
        </w:rPr>
        <w:t>АДМИНИСТРАЦИЯ ТРОИЦКОГО СЕЛЬСКОГО ПОСЕЛЕНИЯ</w:t>
      </w:r>
    </w:p>
    <w:p w14:paraId="08000000">
      <w:pPr>
        <w:ind w:hanging="567" w:left="567"/>
        <w:jc w:val="both"/>
      </w:pPr>
    </w:p>
    <w:p w14:paraId="09000000">
      <w:pPr>
        <w:pStyle w:val="Style_1"/>
      </w:pPr>
      <w:r>
        <w:t>РАСПОРЯЖЕНИЕ</w:t>
      </w:r>
    </w:p>
    <w:p w14:paraId="0A000000">
      <w:pPr>
        <w:ind/>
        <w:jc w:val="both"/>
        <w:rPr>
          <w:b w:val="1"/>
          <w:sz w:val="1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от 02.11.2024г</w:t>
      </w:r>
      <w:r>
        <w:rPr>
          <w:sz w:val="28"/>
        </w:rPr>
        <w:t xml:space="preserve"> № 102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E000000">
      <w:pPr>
        <w:ind/>
        <w:jc w:val="both"/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10065"/>
      </w:tblGrid>
      <w:tr>
        <w:tc>
          <w:tcPr>
            <w:tcW w:type="dxa" w:w="10065"/>
            <w:shd w:fill="auto" w:val="clear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распоряжение Администрации Троицкого сельского поселения от 26.12.2023г № 153 «Об утверждении плана реализации муницип</w:t>
            </w:r>
            <w:r>
              <w:rPr>
                <w:b w:val="1"/>
                <w:sz w:val="28"/>
              </w:rPr>
              <w:t>а</w:t>
            </w:r>
            <w:r>
              <w:rPr>
                <w:b w:val="1"/>
                <w:sz w:val="28"/>
              </w:rPr>
              <w:t>л</w:t>
            </w:r>
            <w:r>
              <w:rPr>
                <w:b w:val="1"/>
                <w:sz w:val="28"/>
              </w:rPr>
              <w:t>ь</w:t>
            </w:r>
            <w:r>
              <w:rPr>
                <w:b w:val="1"/>
                <w:sz w:val="28"/>
              </w:rPr>
              <w:t>но</w:t>
            </w:r>
            <w:r>
              <w:rPr>
                <w:b w:val="1"/>
                <w:sz w:val="28"/>
              </w:rPr>
              <w:t xml:space="preserve">й программы 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Троицкого сельского поселения «</w:t>
            </w:r>
            <w:r>
              <w:rPr>
                <w:b w:val="1"/>
                <w:sz w:val="28"/>
              </w:rPr>
              <w:t>Развитие культуры»</w:t>
            </w:r>
            <w:r>
              <w:rPr>
                <w:b w:val="1"/>
                <w:sz w:val="28"/>
              </w:rPr>
              <w:t xml:space="preserve"> на 20</w:t>
            </w: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>г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12000000"/>
    <w:p w14:paraId="13000000">
      <w:pPr>
        <w:spacing w:before="264" w:line="322" w:lineRule="exact"/>
        <w:ind w:right="1"/>
        <w:jc w:val="both"/>
        <w:rPr>
          <w:b w:val="1"/>
          <w:sz w:val="28"/>
        </w:rPr>
      </w:pPr>
      <w:r>
        <w:t xml:space="preserve">            </w:t>
      </w:r>
      <w:r>
        <w:rPr>
          <w:sz w:val="28"/>
        </w:rPr>
        <w:t>В соответствии с постановлением Администрации Троицкого сельского поселения от 15.03.2018г. № 36 «</w:t>
      </w:r>
      <w:r>
        <w:rPr>
          <w:sz w:val="28"/>
        </w:rPr>
        <w:t>Об утверждении Порядка</w:t>
      </w:r>
      <w:r>
        <w:rPr>
          <w:sz w:val="20"/>
        </w:rPr>
        <w:t xml:space="preserve"> </w:t>
      </w:r>
      <w:r>
        <w:rPr>
          <w:sz w:val="28"/>
        </w:rPr>
        <w:t xml:space="preserve">разработки, </w:t>
      </w:r>
      <w:r>
        <w:rPr>
          <w:sz w:val="28"/>
        </w:rPr>
        <w:t>реализации и оценки э</w:t>
      </w:r>
      <w:r>
        <w:rPr>
          <w:sz w:val="28"/>
        </w:rPr>
        <w:t>ффе</w:t>
      </w:r>
      <w:r>
        <w:rPr>
          <w:sz w:val="28"/>
        </w:rPr>
        <w:t>к</w:t>
      </w:r>
      <w:r>
        <w:rPr>
          <w:sz w:val="28"/>
        </w:rPr>
        <w:t>тивн</w:t>
      </w:r>
      <w:r>
        <w:rPr>
          <w:sz w:val="28"/>
        </w:rPr>
        <w:t>ос</w:t>
      </w:r>
      <w:r>
        <w:rPr>
          <w:sz w:val="28"/>
        </w:rPr>
        <w:t>т</w:t>
      </w:r>
      <w:r>
        <w:rPr>
          <w:sz w:val="28"/>
        </w:rPr>
        <w:t>и</w:t>
      </w:r>
      <w:r>
        <w:rPr>
          <w:sz w:val="20"/>
        </w:rPr>
        <w:t xml:space="preserve"> </w:t>
      </w:r>
      <w:r>
        <w:rPr>
          <w:sz w:val="28"/>
        </w:rPr>
        <w:t>му</w:t>
      </w:r>
      <w:r>
        <w:rPr>
          <w:sz w:val="28"/>
        </w:rPr>
        <w:t xml:space="preserve">ниципальных программ </w:t>
      </w:r>
      <w:r>
        <w:rPr>
          <w:sz w:val="28"/>
        </w:rPr>
        <w:t xml:space="preserve">Троицкого 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b w:val="1"/>
          <w:sz w:val="28"/>
        </w:rPr>
        <w:t>:</w:t>
      </w:r>
    </w:p>
    <w:p w14:paraId="14000000">
      <w:pPr>
        <w:spacing w:before="264" w:line="322" w:lineRule="exact"/>
        <w:ind w:right="1"/>
        <w:jc w:val="both"/>
        <w:rPr>
          <w:sz w:val="20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1. Внести в распоряжение Администрации Троицкого сельского поселения от 26.12.2023г № 153  «Об утверждении </w:t>
      </w:r>
      <w:r>
        <w:rPr>
          <w:sz w:val="28"/>
        </w:rPr>
        <w:t xml:space="preserve"> плана реализации муниципальной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Троицкого сельского поселения «Развитие культуры» на 20</w:t>
      </w:r>
      <w:r>
        <w:rPr>
          <w:sz w:val="28"/>
        </w:rPr>
        <w:t>24</w:t>
      </w:r>
      <w:r>
        <w:rPr>
          <w:sz w:val="28"/>
        </w:rPr>
        <w:t xml:space="preserve"> год» изменения изложив приложение в новой редакции согласно приложению к настоящ</w:t>
      </w:r>
      <w:r>
        <w:rPr>
          <w:sz w:val="28"/>
        </w:rPr>
        <w:t xml:space="preserve">ему </w:t>
      </w:r>
      <w:r>
        <w:rPr>
          <w:sz w:val="28"/>
        </w:rPr>
        <w:t>расп</w:t>
      </w:r>
      <w:r>
        <w:rPr>
          <w:sz w:val="28"/>
        </w:rPr>
        <w:t>оряже</w:t>
      </w:r>
      <w:r>
        <w:rPr>
          <w:sz w:val="28"/>
        </w:rPr>
        <w:t>нию.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2. Начальнику </w:t>
      </w:r>
      <w:r>
        <w:rPr>
          <w:sz w:val="28"/>
        </w:rPr>
        <w:t>сектора</w:t>
      </w:r>
      <w:r>
        <w:rPr>
          <w:sz w:val="28"/>
        </w:rPr>
        <w:t xml:space="preserve"> экономики и финансов Администрации Троицкого сельского поселения (Е.Б.Холодняк), главному бухгалтеру Администрации Троицкого сельского поселения (С.В.Бархатовой) обеспечить выполнение плана реализации муниципа</w:t>
      </w:r>
      <w:r>
        <w:rPr>
          <w:sz w:val="28"/>
        </w:rPr>
        <w:t>льно</w:t>
      </w:r>
      <w:r>
        <w:rPr>
          <w:sz w:val="28"/>
        </w:rPr>
        <w:t>й пр</w:t>
      </w:r>
      <w:r>
        <w:rPr>
          <w:sz w:val="28"/>
        </w:rPr>
        <w:t>ограм</w:t>
      </w:r>
      <w:r>
        <w:rPr>
          <w:sz w:val="28"/>
        </w:rPr>
        <w:t>мы «Р</w:t>
      </w:r>
      <w:r>
        <w:rPr>
          <w:sz w:val="28"/>
        </w:rPr>
        <w:t>а</w:t>
      </w:r>
      <w:r>
        <w:rPr>
          <w:sz w:val="28"/>
        </w:rPr>
        <w:t>з</w:t>
      </w:r>
      <w:r>
        <w:rPr>
          <w:sz w:val="28"/>
        </w:rPr>
        <w:t>в</w:t>
      </w:r>
      <w:r>
        <w:rPr>
          <w:sz w:val="28"/>
        </w:rPr>
        <w:t>итие к</w:t>
      </w:r>
      <w:r>
        <w:rPr>
          <w:sz w:val="28"/>
        </w:rPr>
        <w:t>ультуры» на 20</w:t>
      </w:r>
      <w:r>
        <w:rPr>
          <w:sz w:val="28"/>
        </w:rPr>
        <w:t>24</w:t>
      </w:r>
      <w:r>
        <w:rPr>
          <w:sz w:val="28"/>
        </w:rPr>
        <w:t xml:space="preserve"> год.</w:t>
      </w:r>
    </w:p>
    <w:p w14:paraId="1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3. Настоящее распоряжение вступает в силу с момента его подписания.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  4</w:t>
      </w:r>
      <w:r>
        <w:rPr>
          <w:sz w:val="28"/>
        </w:rPr>
        <w:t>. Контроль за и</w:t>
      </w:r>
      <w:r>
        <w:rPr>
          <w:sz w:val="28"/>
        </w:rPr>
        <w:t>с</w:t>
      </w:r>
      <w:r>
        <w:rPr>
          <w:sz w:val="28"/>
        </w:rPr>
        <w:t xml:space="preserve">полнением </w:t>
      </w:r>
      <w:r>
        <w:rPr>
          <w:sz w:val="28"/>
        </w:rPr>
        <w:t>настоящего распоряжения</w:t>
      </w:r>
      <w:r>
        <w:rPr>
          <w:sz w:val="28"/>
        </w:rPr>
        <w:t xml:space="preserve"> оставляю за собой.</w:t>
      </w:r>
    </w:p>
    <w:p w14:paraId="19000000">
      <w:pPr>
        <w:ind w:firstLine="567" w:left="0"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Троицкого сельского поселения: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О.Н.Гурина</w:t>
      </w:r>
    </w:p>
    <w:p w14:paraId="1D000000">
      <w:pPr>
        <w:ind/>
        <w:jc w:val="both"/>
        <w:rPr>
          <w:sz w:val="28"/>
        </w:rPr>
      </w:pPr>
    </w:p>
    <w:p w14:paraId="1E000000"/>
    <w:p w14:paraId="1F000000"/>
    <w:p w14:paraId="20000000"/>
    <w:p w14:paraId="21000000">
      <w:pPr>
        <w:sectPr>
          <w:pgSz w:h="16838" w:orient="portrait" w:w="11906"/>
          <w:pgMar w:bottom="1134" w:footer="709" w:gutter="0" w:header="709" w:left="1134" w:right="567" w:top="567"/>
          <w:pgNumType w:start="3"/>
        </w:sectPr>
      </w:pPr>
    </w:p>
    <w:p w14:paraId="22000000">
      <w:pPr>
        <w:ind w:firstLine="0" w:left="1077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>Приложение № 1 к распоряжению</w:t>
      </w:r>
    </w:p>
    <w:p w14:paraId="23000000">
      <w:pPr>
        <w:ind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</w:t>
      </w:r>
      <w:r>
        <w:rPr>
          <w:sz w:val="20"/>
        </w:rPr>
        <w:t xml:space="preserve">         </w:t>
      </w:r>
      <w:r>
        <w:rPr>
          <w:sz w:val="20"/>
        </w:rPr>
        <w:t xml:space="preserve">      </w:t>
      </w:r>
      <w:r>
        <w:rPr>
          <w:sz w:val="20"/>
        </w:rPr>
        <w:t xml:space="preserve"> </w:t>
      </w:r>
      <w:r>
        <w:rPr>
          <w:sz w:val="20"/>
        </w:rPr>
        <w:t xml:space="preserve">    </w:t>
      </w: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 xml:space="preserve">Администрации </w:t>
      </w:r>
      <w:r>
        <w:rPr>
          <w:sz w:val="20"/>
        </w:rPr>
        <w:t>Троицкого сельского поселения</w:t>
      </w:r>
    </w:p>
    <w:p w14:paraId="24000000">
      <w:pPr>
        <w:ind w:firstLine="0" w:left="10773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 xml:space="preserve">   </w:t>
      </w:r>
      <w:r>
        <w:rPr>
          <w:sz w:val="20"/>
        </w:rPr>
        <w:t xml:space="preserve">от 02.11.2024г </w:t>
      </w:r>
      <w:r>
        <w:rPr>
          <w:sz w:val="20"/>
        </w:rPr>
        <w:t>№_102_</w:t>
      </w:r>
    </w:p>
    <w:p w14:paraId="25000000">
      <w:pPr>
        <w:widowControl w:val="0"/>
        <w:ind/>
        <w:jc w:val="center"/>
      </w:pPr>
      <w:r>
        <w:rPr>
          <w:b w:val="1"/>
          <w:sz w:val="16"/>
        </w:rPr>
        <w:tab/>
      </w:r>
      <w:r>
        <w:t>План</w:t>
      </w:r>
    </w:p>
    <w:p w14:paraId="26000000">
      <w:pPr>
        <w:tabs>
          <w:tab w:leader="none" w:pos="330" w:val="left"/>
        </w:tabs>
        <w:ind/>
        <w:jc w:val="center"/>
      </w:pPr>
      <w:r>
        <w:t xml:space="preserve">реализации муниципальной программы </w:t>
      </w:r>
      <w:r>
        <w:t>«</w:t>
      </w:r>
      <w:r>
        <w:t>Развитие культуры</w:t>
      </w:r>
      <w:r>
        <w:t>»</w:t>
      </w:r>
      <w:r>
        <w:t xml:space="preserve"> на 2024</w:t>
      </w:r>
      <w:r>
        <w:t>г</w:t>
      </w:r>
    </w:p>
    <w:tbl>
      <w:tblPr>
        <w:tblStyle w:val="Style_2"/>
        <w:tblInd w:type="dxa" w:w="-465"/>
        <w:tblLayout w:type="fixed"/>
        <w:tblCellMar>
          <w:left w:type="dxa" w:w="75"/>
          <w:right w:type="dxa" w:w="75"/>
        </w:tblCellMar>
      </w:tblPr>
      <w:tblGrid>
        <w:gridCol w:w="851"/>
        <w:gridCol w:w="3091"/>
        <w:gridCol w:w="3544"/>
        <w:gridCol w:w="2891"/>
        <w:gridCol w:w="1260"/>
        <w:gridCol w:w="1055"/>
        <w:gridCol w:w="1134"/>
        <w:gridCol w:w="1177"/>
        <w:gridCol w:w="1080"/>
        <w:gridCol w:w="12"/>
      </w:tblGrid>
      <w:tr>
        <w:trPr>
          <w:trHeight w:hRule="atLeast" w:val="276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3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ind/>
              <w:jc w:val="center"/>
            </w:pPr>
            <w:r>
              <w:t>Н</w:t>
            </w:r>
            <w:r>
              <w:t>аи</w:t>
            </w:r>
            <w:r>
              <w:t>ме</w:t>
            </w:r>
            <w:r>
              <w:t>нован</w:t>
            </w:r>
            <w:r>
              <w:t xml:space="preserve">ие </w:t>
            </w:r>
          </w:p>
          <w:p w14:paraId="29000000">
            <w:pPr>
              <w:widowControl w:val="0"/>
              <w:ind/>
              <w:jc w:val="center"/>
            </w:pP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>О</w:t>
            </w:r>
            <w:r>
              <w:t>т</w:t>
            </w:r>
            <w:r>
              <w:t>ветствен</w:t>
            </w:r>
            <w:r>
              <w:t xml:space="preserve">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  <w:p w14:paraId="2B000000">
            <w:pPr>
              <w:widowControl w:val="0"/>
              <w:ind/>
              <w:jc w:val="center"/>
            </w:pPr>
          </w:p>
        </w:tc>
        <w:tc>
          <w:tcPr>
            <w:tcW w:type="dxa" w:w="2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Плановый срок реализации</w:t>
            </w:r>
          </w:p>
        </w:tc>
        <w:tc>
          <w:tcPr>
            <w:tcW w:type="dxa" w:w="4458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00000">
            <w:pPr>
              <w:ind/>
              <w:jc w:val="center"/>
            </w:pPr>
            <w:r>
              <w:t>Объем расходов на 2024</w:t>
            </w:r>
            <w:r>
              <w:t xml:space="preserve"> год </w:t>
            </w:r>
          </w:p>
          <w:p w14:paraId="2F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вн</w:t>
            </w:r>
            <w:r>
              <w:t>е</w:t>
            </w:r>
            <w:r>
              <w:t>бюдже</w:t>
            </w:r>
            <w:r>
              <w:t>т</w:t>
            </w:r>
            <w:r>
              <w:t>ные</w:t>
            </w:r>
            <w:r>
              <w:br/>
            </w:r>
            <w:r>
              <w:t>исто</w:t>
            </w:r>
            <w:r>
              <w:t>ч</w:t>
            </w:r>
            <w:r>
              <w:t>ники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4000000"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8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E000000"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</w:pPr>
            <w:r>
              <w:t>1.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</w:pPr>
            <w:r>
              <w:t>Под</w:t>
            </w:r>
            <w:r>
              <w:t>пр</w:t>
            </w:r>
            <w:r>
              <w:t>ог</w:t>
            </w:r>
            <w:r>
              <w:t xml:space="preserve">рамма </w:t>
            </w:r>
            <w:r>
              <w:t>№1.</w:t>
            </w:r>
          </w:p>
          <w:p w14:paraId="41000000">
            <w:pPr>
              <w:widowControl w:val="0"/>
              <w:ind/>
            </w:pPr>
            <w:r>
              <w:t>«Развитие культуры и искусства в Троицком сельском поселении»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/>
            </w:pPr>
            <w:r>
              <w:t xml:space="preserve">Начальник </w:t>
            </w:r>
            <w:r>
              <w:t>сектора</w:t>
            </w:r>
            <w:r>
              <w:t xml:space="preserve"> экономики и финансов Администрации</w:t>
            </w:r>
            <w:r>
              <w:t xml:space="preserve"> </w:t>
            </w:r>
            <w:r>
              <w:t xml:space="preserve">Троицкого </w:t>
            </w:r>
            <w:r>
              <w:t>сельского поселения</w:t>
            </w:r>
            <w:r>
              <w:t xml:space="preserve"> Е.Б.Холодняк</w:t>
            </w:r>
            <w:r>
              <w:t xml:space="preserve">, </w:t>
            </w:r>
            <w:r>
              <w:t xml:space="preserve"> главный </w:t>
            </w:r>
            <w:r>
              <w:t>бухгалтер</w:t>
            </w:r>
            <w:r>
              <w:t xml:space="preserve"> Администрации Троицкого сельского поселения С.В.Бархатова, директ</w:t>
            </w:r>
            <w:r>
              <w:t xml:space="preserve">ор </w:t>
            </w:r>
            <w:r>
              <w:t>Муниципального бюджетного учреждения</w:t>
            </w:r>
            <w:r>
              <w:t xml:space="preserve"> Троицкого сельского поселения «Троицкий Дом культуры»</w:t>
            </w:r>
            <w:r>
              <w:t xml:space="preserve"> Е.М.Рябиков</w:t>
            </w:r>
          </w:p>
        </w:tc>
        <w:tc>
          <w:tcPr>
            <w:tcW w:type="dxa" w:w="28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  <w:rPr>
                <w:color w:val="FF0000"/>
              </w:rPr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весь период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4520,1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4520,1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9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</w:pPr>
            <w:r>
              <w:t>Основное мероприятие 1.1</w:t>
            </w:r>
          </w:p>
          <w:p w14:paraId="4C000000">
            <w:pPr>
              <w:widowControl w:val="0"/>
              <w:ind/>
            </w:pPr>
            <w:r>
              <w:t>Расходы на обеспеч</w:t>
            </w:r>
            <w:r>
              <w:t>ение деятельности (оказание услуг) муниципальных учреждений культурно-досуговой деятельности Троицкого сельского поселения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</w:pPr>
            <w:r>
              <w:t>Начальник сектора экономики и финансов Администрации</w:t>
            </w:r>
            <w:r>
              <w:t xml:space="preserve"> </w:t>
            </w:r>
            <w:r>
              <w:t xml:space="preserve">Троицкого </w:t>
            </w:r>
            <w:r>
              <w:t>сельского поселения</w:t>
            </w:r>
            <w:r>
              <w:t xml:space="preserve"> Е.Б.Холодняк,  главный </w:t>
            </w:r>
            <w:r>
              <w:t>бухгалтер</w:t>
            </w:r>
            <w:r>
              <w:t xml:space="preserve"> Администрации Тро</w:t>
            </w:r>
            <w:r>
              <w:t xml:space="preserve">ицкого сельского поселения С.В.Бархатова, директор </w:t>
            </w:r>
            <w:r>
              <w:t>Муниципального бюджетного учреждения</w:t>
            </w:r>
            <w:r>
              <w:t xml:space="preserve"> Троицкого сельского поселения «Троицкий Дом культуры»</w:t>
            </w:r>
            <w:r>
              <w:t xml:space="preserve">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both"/>
            </w:pPr>
            <w:r>
              <w:t xml:space="preserve">Сохранение количества посещений  концертов. </w:t>
            </w:r>
          </w:p>
          <w:p w14:paraId="4F000000">
            <w:pPr>
              <w:widowControl w:val="0"/>
              <w:ind/>
              <w:jc w:val="both"/>
            </w:pPr>
            <w:r>
              <w:t>сохранение и увеличение  количества посещений  культурно-</w:t>
            </w:r>
            <w:r>
              <w:t>досуговых мероприятий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>весь период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4189,1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4189,1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5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</w:pPr>
            <w:r>
              <w:t>1.1.1.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1.1.1</w:t>
            </w:r>
          </w:p>
          <w:p w14:paraId="5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</w:rPr>
              <w:t>организации  и проведению празднования посвященному 255-летию со дня основания</w:t>
            </w:r>
            <w:r>
              <w:rPr>
                <w:rFonts w:ascii="Times New Roman" w:hAnsi="Times New Roman"/>
                <w:sz w:val="24"/>
              </w:rPr>
              <w:t xml:space="preserve"> с.Троицкое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</w:pPr>
            <w:r>
              <w:t>Начальник сектора экономики и финансов Администрации</w:t>
            </w:r>
            <w:r>
              <w:t xml:space="preserve"> </w:t>
            </w:r>
            <w:r>
              <w:t xml:space="preserve">Троицкого </w:t>
            </w:r>
            <w:r>
              <w:t>сельского поселения</w:t>
            </w:r>
            <w:r>
              <w:t xml:space="preserve"> Е.Б.Холодняк,  главный </w:t>
            </w:r>
            <w:r>
              <w:t>бухгалтер</w:t>
            </w:r>
            <w:r>
              <w:t xml:space="preserve"> Администрации Тро</w:t>
            </w:r>
            <w:r>
              <w:t xml:space="preserve">ицкого сельского поселения С.В.Бархатова, директор </w:t>
            </w:r>
            <w:r>
              <w:t>Муниципального бюджетного учреждения</w:t>
            </w:r>
            <w:r>
              <w:t xml:space="preserve"> Троицкого сельского поселения «Троицкий Дом культуры»</w:t>
            </w:r>
            <w:r>
              <w:t xml:space="preserve"> Е.М.Рябиков</w:t>
            </w:r>
          </w:p>
          <w:p w14:paraId="5A000000">
            <w:pPr>
              <w:widowControl w:val="0"/>
              <w:ind/>
            </w:pP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both"/>
            </w:pPr>
            <w:r>
              <w:t>увеличение количества жителей, посещающих культурные мероприятия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</w:pPr>
            <w:r>
              <w:t>весь период</w:t>
            </w:r>
          </w:p>
          <w:p w14:paraId="5D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>331,0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331,0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2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</w:pPr>
            <w:r>
              <w:t>Контрольное событие муниципальной программы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</w:pPr>
            <w:r>
              <w:t>Начальник сектора экономики и финансов Администрации</w:t>
            </w:r>
            <w:r>
              <w:t xml:space="preserve"> </w:t>
            </w:r>
            <w:r>
              <w:t xml:space="preserve">Троицкого </w:t>
            </w:r>
            <w:r>
              <w:t>сельского поселения</w:t>
            </w:r>
            <w:r>
              <w:t xml:space="preserve"> Е.Б.Холодняк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jc w:val="both"/>
            </w:pPr>
            <w:r>
              <w:t>Доведение заработной платы работников культуры д</w:t>
            </w:r>
            <w:r>
              <w:t>о уровня средней заработной платы по Ростовской области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31.12.20</w:t>
            </w:r>
            <w:r>
              <w:t>24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C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</w:pPr>
            <w:r>
              <w:t xml:space="preserve">Подпрограмма </w:t>
            </w:r>
            <w:r>
              <w:t>2</w:t>
            </w:r>
            <w:r>
              <w:t xml:space="preserve"> «</w:t>
            </w:r>
            <w:r>
              <w:t>Сохранение и развитие народного творчества</w:t>
            </w:r>
            <w:r>
              <w:t>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</w:pPr>
            <w:r>
              <w:t xml:space="preserve">директор </w:t>
            </w:r>
            <w:r>
              <w:t>Муниципального бюджетного учреждения</w:t>
            </w:r>
            <w:r>
              <w:t xml:space="preserve"> Троицкого сельского поселения «Троицкий Дом культуры»</w:t>
            </w:r>
            <w:r>
              <w:t xml:space="preserve">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jc w:val="center"/>
            </w:pP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6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r>
              <w:t>Основное мероприятие 2.1.</w:t>
            </w:r>
          </w:p>
          <w:p w14:paraId="79000000">
            <w:pPr>
              <w:widowControl w:val="0"/>
              <w:ind/>
            </w:pPr>
            <w:r>
              <w:t>Создание условий для развития местного традиционного народного художественного творчества, участие в сохранение, возрождении и развитии народных художественных промыслов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</w:pPr>
            <w:r>
              <w:t xml:space="preserve">директор </w:t>
            </w:r>
            <w:r>
              <w:t>Муниципального бюджетного учреждения</w:t>
            </w:r>
            <w:r>
              <w:t xml:space="preserve"> Троицко</w:t>
            </w:r>
            <w:r>
              <w:t>го сельского поселения «Троицкий Дом культуры»</w:t>
            </w:r>
            <w:r>
              <w:t xml:space="preserve">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both"/>
            </w:pPr>
            <w:r>
              <w:t>Увеличение интереса насел</w:t>
            </w:r>
            <w:r>
              <w:t>е</w:t>
            </w:r>
            <w:r>
              <w:t>ния поселения к изучению, сохранению и развитию национальных традиций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jc w:val="center"/>
            </w:pP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81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</w:pPr>
            <w:r>
              <w:t>2.2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r>
              <w:t>Основное мероприятие 2.2.</w:t>
            </w:r>
          </w:p>
          <w:p w14:paraId="84000000">
            <w:r>
              <w:t>Сохранение материального и нематериального культурного наследия н</w:t>
            </w:r>
            <w:r>
              <w:t>ародов РФ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</w:pPr>
            <w:r>
              <w:t>директор Муниципального бюджетного учреждения Троицкого сельского поселения «Троицкий Дом культуры»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widowControl w:val="0"/>
              <w:ind/>
              <w:jc w:val="both"/>
            </w:pPr>
            <w:r>
              <w:t>Сохранение национального культурного населения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</w:pP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jc w:val="center"/>
            </w:pP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8C000000"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widowControl w:val="0"/>
              <w:ind/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r>
              <w:t>Контрольное событие муниципальной программы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widowControl w:val="0"/>
              <w:ind/>
            </w:pPr>
            <w:r>
              <w:t>директор Муниципального бюджетного у</w:t>
            </w:r>
            <w:r>
              <w:t>чреждения Троицкого сельского поселения «Троицкий Дом культуры» Е.М.Рябиков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widowControl w:val="0"/>
              <w:ind/>
              <w:jc w:val="both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96000000"/>
        </w:tc>
      </w:tr>
    </w:tbl>
    <w:p w14:paraId="97000000"/>
    <w:p w14:paraId="98000000"/>
    <w:sectPr>
      <w:pgSz w:h="11906" w:orient="landscape" w:w="16838"/>
      <w:pgMar w:bottom="567" w:footer="709" w:gutter="0" w:header="709" w:left="1134" w:right="1134" w:top="1134"/>
      <w:pgNumType w:start="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apple-converted-space"/>
    <w:basedOn w:val="Style_5"/>
    <w:link w:val="Style_4_ch"/>
  </w:style>
  <w:style w:styleId="Style_4_ch" w:type="character">
    <w:name w:val="apple-converted-space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Без интервала1"/>
    <w:link w:val="Style_12_ch"/>
    <w:rPr>
      <w:rFonts w:ascii="Calibri" w:hAnsi="Calibri"/>
      <w:sz w:val="22"/>
    </w:rPr>
  </w:style>
  <w:style w:styleId="Style_12_ch" w:type="character">
    <w:name w:val="Без интервала1"/>
    <w:link w:val="Style_12"/>
    <w:rPr>
      <w:rFonts w:ascii="Calibri" w:hAnsi="Calibri"/>
      <w:sz w:val="22"/>
    </w:rPr>
  </w:style>
  <w:style w:styleId="Style_13" w:type="paragraph">
    <w:name w:val="page number"/>
    <w:basedOn w:val="Style_5"/>
    <w:link w:val="Style_13_ch"/>
  </w:style>
  <w:style w:styleId="Style_13_ch" w:type="character">
    <w:name w:val="page number"/>
    <w:basedOn w:val="Style_5_ch"/>
    <w:link w:val="Style_13"/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Con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Normal"/>
    <w:link w:val="Style_15"/>
    <w:rPr>
      <w:rFonts w:ascii="Arial" w:hAnsi="Arial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Cell"/>
    <w:link w:val="Style_17_ch"/>
    <w:pPr>
      <w:widowControl w:val="0"/>
      <w:ind/>
    </w:pPr>
    <w:rPr>
      <w:sz w:val="28"/>
    </w:rPr>
  </w:style>
  <w:style w:styleId="Style_17_ch" w:type="character">
    <w:name w:val="ConsPlusCell"/>
    <w:link w:val="Style_17"/>
    <w:rPr>
      <w:sz w:val="28"/>
    </w:rPr>
  </w:style>
  <w:style w:styleId="Style_18" w:type="paragraph">
    <w:name w:val="Body Text Indent"/>
    <w:basedOn w:val="Style_3"/>
    <w:link w:val="Style_18_ch"/>
    <w:pPr>
      <w:ind w:firstLine="900" w:left="0"/>
      <w:jc w:val="both"/>
    </w:pPr>
    <w:rPr>
      <w:sz w:val="28"/>
    </w:rPr>
  </w:style>
  <w:style w:styleId="Style_18_ch" w:type="character">
    <w:name w:val="Body Text Indent"/>
    <w:basedOn w:val="Style_3_ch"/>
    <w:link w:val="Style_18"/>
    <w:rPr>
      <w:sz w:val="28"/>
    </w:rPr>
  </w:style>
  <w:style w:styleId="Style_19" w:type="paragraph">
    <w:name w:val="ConsPlusNonformat"/>
    <w:link w:val="Style_19_ch"/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ind/>
      <w:outlineLvl w:val="0"/>
    </w:pPr>
    <w:rPr>
      <w:sz w:val="28"/>
    </w:rPr>
  </w:style>
  <w:style w:styleId="Style_21_ch" w:type="character">
    <w:name w:val="heading 1"/>
    <w:basedOn w:val="Style_3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Body Text 2"/>
    <w:basedOn w:val="Style_3"/>
    <w:link w:val="Style_24_ch"/>
    <w:pPr>
      <w:spacing w:after="120" w:line="480" w:lineRule="auto"/>
      <w:ind/>
    </w:pPr>
  </w:style>
  <w:style w:styleId="Style_24_ch" w:type="character">
    <w:name w:val="Body Text 2"/>
    <w:basedOn w:val="Style_3_ch"/>
    <w:link w:val="Style_24"/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3_ch"/>
    <w:link w:val="Style_25"/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No Spacing"/>
    <w:link w:val="Style_29_ch"/>
    <w:rPr>
      <w:rFonts w:ascii="Calibri" w:hAnsi="Calibri"/>
      <w:sz w:val="22"/>
    </w:rPr>
  </w:style>
  <w:style w:styleId="Style_29_ch" w:type="character">
    <w:name w:val="No Spacing"/>
    <w:link w:val="Style_29"/>
    <w:rPr>
      <w:rFonts w:ascii="Calibri" w:hAnsi="Calibri"/>
      <w:sz w:val="22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сновной текст 22"/>
    <w:basedOn w:val="Style_3"/>
    <w:link w:val="Style_31_ch"/>
    <w:pPr>
      <w:ind/>
      <w:jc w:val="both"/>
    </w:pPr>
    <w:rPr>
      <w:sz w:val="28"/>
    </w:rPr>
  </w:style>
  <w:style w:styleId="Style_31_ch" w:type="character">
    <w:name w:val="Основной текст 22"/>
    <w:basedOn w:val="Style_3_ch"/>
    <w:link w:val="Style_31"/>
    <w:rPr>
      <w:sz w:val="28"/>
    </w:rPr>
  </w:style>
  <w:style w:styleId="Style_32" w:type="paragraph">
    <w:name w:val="ConsNonformat"/>
    <w:link w:val="Style_32_ch"/>
    <w:pPr>
      <w:widowControl w:val="0"/>
      <w:ind w:right="19772"/>
    </w:pPr>
    <w:rPr>
      <w:rFonts w:ascii="Courier New" w:hAnsi="Courier New"/>
      <w:sz w:val="22"/>
    </w:rPr>
  </w:style>
  <w:style w:styleId="Style_32_ch" w:type="character">
    <w:name w:val="ConsNonformat"/>
    <w:link w:val="Style_32"/>
    <w:rPr>
      <w:rFonts w:ascii="Courier New" w:hAnsi="Courier New"/>
      <w:sz w:val="22"/>
    </w:rPr>
  </w:style>
  <w:style w:styleId="Style_33" w:type="paragraph">
    <w:name w:val="ConsPlusNormal"/>
    <w:link w:val="Style_33_ch"/>
    <w:pPr>
      <w:widowControl w:val="0"/>
      <w:ind w:firstLine="720" w:left="0"/>
    </w:pPr>
    <w:rPr>
      <w:rFonts w:ascii="Arial" w:hAnsi="Arial"/>
      <w:sz w:val="24"/>
    </w:rPr>
  </w:style>
  <w:style w:styleId="Style_33_ch" w:type="character">
    <w:name w:val="ConsPlusNormal"/>
    <w:link w:val="Style_33"/>
    <w:rPr>
      <w:rFonts w:ascii="Arial" w:hAnsi="Arial"/>
      <w:sz w:val="24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1" w:type="paragraph">
    <w:name w:val="Title"/>
    <w:basedOn w:val="Style_3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3_ch"/>
    <w:link w:val="Style_1"/>
    <w:rPr>
      <w:sz w:val="36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3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2024-11-02T07:24:03Z</dcterms:modified>
</cp:coreProperties>
</file>