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руководителем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МБУК «Троицкий ДК»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rPr>
          <w:sz w:val="40"/>
        </w:rPr>
      </w:pPr>
    </w:p>
    <w:tbl>
      <w:tblPr>
        <w:tblStyle w:val="Style_1"/>
        <w:tblInd w:type="dxa" w:w="7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62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rPr>
          <w:trHeight w:hRule="atLeast" w:val="759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Рябиков 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Михайлович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579280,41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75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759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591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506952,86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ДЭУ МАТИЗ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591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591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</w:tbl>
    <w:p w14:paraId="31000000"/>
    <w:sectPr>
      <w:pgSz w:h="11906" w:orient="landscape" w:w="16838"/>
      <w:pgMar w:bottom="737" w:footer="709" w:gutter="0" w:header="709" w:left="737" w:right="737" w:top="73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2023-05-03T08:58:44Z</dcterms:modified>
</cp:coreProperties>
</file>